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39A6A" w14:textId="415B925F" w:rsidR="00681334" w:rsidRPr="00663BD6" w:rsidRDefault="00195BDC" w:rsidP="00681334">
      <w:pPr>
        <w:suppressAutoHyphens/>
        <w:spacing w:after="0" w:line="240" w:lineRule="auto"/>
        <w:ind w:left="709" w:hanging="709"/>
        <w:contextualSpacing/>
        <w:jc w:val="center"/>
        <w:rPr>
          <w:rFonts w:ascii="Verdana" w:hAnsi="Verdana" w:cs="Arial"/>
          <w:b/>
          <w:lang w:eastAsia="ar-SA"/>
        </w:rPr>
      </w:pPr>
      <w:r w:rsidRPr="00663BD6">
        <w:rPr>
          <w:rFonts w:ascii="Verdana" w:hAnsi="Verdana" w:cs="Arial"/>
        </w:rPr>
        <w:tab/>
      </w:r>
      <w:bookmarkStart w:id="0" w:name="_Hlk204798186"/>
      <w:r w:rsidR="00681334" w:rsidRPr="00663BD6">
        <w:rPr>
          <w:rFonts w:ascii="Verdana" w:hAnsi="Verdana" w:cs="Arial"/>
          <w:b/>
          <w:lang w:eastAsia="ar-SA"/>
        </w:rPr>
        <w:t>FICHA ANÁLISIS MEDIO DE CONTROL DE REPETICIÓN PARA PRESENTAR AL COMITÉ DE DEFENSA JUDICIAL Y CONCILIACIÓN DE LA DIRECCIÓN GENERAL</w:t>
      </w:r>
    </w:p>
    <w:bookmarkEnd w:id="0"/>
    <w:p w14:paraId="4D167541" w14:textId="1767ADFA" w:rsidR="00195BDC" w:rsidRPr="00663BD6" w:rsidRDefault="00195BDC" w:rsidP="00195BDC">
      <w:pPr>
        <w:spacing w:after="0" w:line="240" w:lineRule="auto"/>
        <w:rPr>
          <w:rFonts w:ascii="Verdana" w:hAnsi="Verdana" w:cs="Arial"/>
          <w:b/>
        </w:rPr>
      </w:pPr>
    </w:p>
    <w:p w14:paraId="141D1E3C" w14:textId="77777777" w:rsidR="007C4E86" w:rsidRPr="00663BD6" w:rsidRDefault="007C4E86" w:rsidP="00195BDC">
      <w:pPr>
        <w:spacing w:after="0" w:line="240" w:lineRule="auto"/>
        <w:ind w:left="107"/>
        <w:rPr>
          <w:rFonts w:ascii="Verdana" w:hAnsi="Verdana" w:cs="Arial"/>
          <w:b/>
        </w:rPr>
      </w:pPr>
    </w:p>
    <w:p w14:paraId="31025FDC" w14:textId="030EEA29" w:rsidR="00195BDC" w:rsidRPr="00663BD6" w:rsidRDefault="00195BDC" w:rsidP="00195BDC">
      <w:pPr>
        <w:tabs>
          <w:tab w:val="left" w:pos="5387"/>
        </w:tabs>
        <w:spacing w:after="0" w:line="240" w:lineRule="auto"/>
        <w:jc w:val="both"/>
        <w:rPr>
          <w:rFonts w:ascii="Verdana" w:hAnsi="Verdana" w:cs="Arial"/>
        </w:rPr>
      </w:pPr>
      <w:r w:rsidRPr="00663BD6">
        <w:rPr>
          <w:rFonts w:ascii="Verdana" w:hAnsi="Verdana" w:cs="Arial"/>
          <w:b/>
          <w:bCs/>
        </w:rPr>
        <w:t>Regional</w:t>
      </w:r>
      <w:r w:rsidRPr="00663BD6">
        <w:rPr>
          <w:rFonts w:ascii="Verdana" w:hAnsi="Verdana" w:cs="Arial"/>
        </w:rPr>
        <w:t xml:space="preserve">: </w:t>
      </w:r>
    </w:p>
    <w:p w14:paraId="432446F9" w14:textId="77777777" w:rsidR="00195BDC" w:rsidRPr="00663BD6" w:rsidRDefault="00195BDC" w:rsidP="00195BDC">
      <w:pPr>
        <w:tabs>
          <w:tab w:val="left" w:pos="5387"/>
        </w:tabs>
        <w:spacing w:after="0" w:line="240" w:lineRule="auto"/>
        <w:jc w:val="both"/>
        <w:rPr>
          <w:rFonts w:ascii="Verdana" w:hAnsi="Verdana" w:cs="Arial"/>
        </w:rPr>
      </w:pPr>
    </w:p>
    <w:p w14:paraId="61C3A64E" w14:textId="6E39E0A9" w:rsidR="00195BDC" w:rsidRPr="00663BD6" w:rsidRDefault="00195BDC" w:rsidP="00195BDC">
      <w:pPr>
        <w:tabs>
          <w:tab w:val="left" w:pos="5387"/>
        </w:tabs>
        <w:spacing w:after="0" w:line="240" w:lineRule="auto"/>
        <w:jc w:val="both"/>
        <w:rPr>
          <w:rFonts w:ascii="Verdana" w:hAnsi="Verdana" w:cs="Arial"/>
        </w:rPr>
      </w:pPr>
      <w:r w:rsidRPr="00663BD6">
        <w:rPr>
          <w:rFonts w:ascii="Verdana" w:hAnsi="Verdana" w:cs="Arial"/>
          <w:b/>
          <w:bCs/>
        </w:rPr>
        <w:t>Demandante</w:t>
      </w:r>
      <w:r w:rsidRPr="00663BD6">
        <w:rPr>
          <w:rFonts w:ascii="Verdana" w:hAnsi="Verdana" w:cs="Arial"/>
        </w:rPr>
        <w:t xml:space="preserve">: </w:t>
      </w:r>
    </w:p>
    <w:p w14:paraId="29CFF519" w14:textId="77777777" w:rsidR="00195BDC" w:rsidRPr="00663BD6" w:rsidRDefault="00195BDC" w:rsidP="00195BDC">
      <w:pPr>
        <w:tabs>
          <w:tab w:val="left" w:pos="5387"/>
        </w:tabs>
        <w:spacing w:after="0" w:line="240" w:lineRule="auto"/>
        <w:jc w:val="both"/>
        <w:rPr>
          <w:rFonts w:ascii="Verdana" w:hAnsi="Verdana" w:cs="Arial"/>
        </w:rPr>
      </w:pPr>
    </w:p>
    <w:p w14:paraId="29FA961A" w14:textId="3D6CB553" w:rsidR="00195BDC" w:rsidRPr="00663BD6" w:rsidRDefault="00195BDC" w:rsidP="00195BDC">
      <w:pPr>
        <w:tabs>
          <w:tab w:val="left" w:pos="5387"/>
        </w:tabs>
        <w:spacing w:after="0" w:line="240" w:lineRule="auto"/>
        <w:jc w:val="both"/>
        <w:rPr>
          <w:rFonts w:ascii="Verdana" w:hAnsi="Verdana" w:cs="Arial"/>
        </w:rPr>
      </w:pPr>
      <w:r w:rsidRPr="00663BD6">
        <w:rPr>
          <w:rFonts w:ascii="Verdana" w:hAnsi="Verdana" w:cs="Arial"/>
          <w:b/>
          <w:bCs/>
        </w:rPr>
        <w:t>Demandados</w:t>
      </w:r>
      <w:r w:rsidRPr="00663BD6">
        <w:rPr>
          <w:rFonts w:ascii="Verdana" w:hAnsi="Verdana" w:cs="Arial"/>
        </w:rPr>
        <w:t xml:space="preserve">: </w:t>
      </w:r>
    </w:p>
    <w:p w14:paraId="0D5D2B01" w14:textId="77777777" w:rsidR="00195BDC" w:rsidRPr="00663BD6" w:rsidRDefault="00195BDC" w:rsidP="00195BDC">
      <w:pPr>
        <w:tabs>
          <w:tab w:val="left" w:pos="5387"/>
        </w:tabs>
        <w:spacing w:after="0" w:line="240" w:lineRule="auto"/>
        <w:jc w:val="both"/>
        <w:rPr>
          <w:rFonts w:ascii="Verdana" w:hAnsi="Verdana" w:cs="Arial"/>
        </w:rPr>
      </w:pPr>
    </w:p>
    <w:p w14:paraId="4A478ABF" w14:textId="0E74FA5C" w:rsidR="00195BDC" w:rsidRPr="00663BD6" w:rsidRDefault="00195BDC" w:rsidP="00195BDC">
      <w:pPr>
        <w:tabs>
          <w:tab w:val="left" w:pos="5387"/>
        </w:tabs>
        <w:spacing w:after="0" w:line="240" w:lineRule="auto"/>
        <w:jc w:val="both"/>
        <w:rPr>
          <w:rFonts w:ascii="Verdana" w:hAnsi="Verdana" w:cs="Arial"/>
        </w:rPr>
      </w:pPr>
      <w:r w:rsidRPr="00663BD6">
        <w:rPr>
          <w:rFonts w:ascii="Verdana" w:hAnsi="Verdana" w:cs="Arial"/>
          <w:b/>
          <w:bCs/>
        </w:rPr>
        <w:t>Tipo de proceso:</w:t>
      </w:r>
      <w:r w:rsidRPr="00663BD6">
        <w:rPr>
          <w:rFonts w:ascii="Verdana" w:hAnsi="Verdana" w:cs="Arial"/>
        </w:rPr>
        <w:t xml:space="preserve"> </w:t>
      </w:r>
    </w:p>
    <w:p w14:paraId="35A2A2DF" w14:textId="77777777" w:rsidR="00195BDC" w:rsidRPr="00663BD6" w:rsidRDefault="00195BDC" w:rsidP="00195BDC">
      <w:pPr>
        <w:tabs>
          <w:tab w:val="left" w:pos="5387"/>
        </w:tabs>
        <w:spacing w:after="0" w:line="240" w:lineRule="auto"/>
        <w:jc w:val="both"/>
        <w:rPr>
          <w:rFonts w:ascii="Verdana" w:hAnsi="Verdana" w:cs="Arial"/>
        </w:rPr>
      </w:pPr>
    </w:p>
    <w:p w14:paraId="3B4F048D" w14:textId="38B560A8" w:rsidR="00195BDC" w:rsidRPr="00663BD6" w:rsidRDefault="00195BDC" w:rsidP="00195BDC">
      <w:pPr>
        <w:tabs>
          <w:tab w:val="left" w:pos="5387"/>
        </w:tabs>
        <w:spacing w:after="0" w:line="240" w:lineRule="auto"/>
        <w:jc w:val="both"/>
        <w:rPr>
          <w:rFonts w:ascii="Verdana" w:hAnsi="Verdana" w:cs="Arial"/>
        </w:rPr>
      </w:pPr>
      <w:r w:rsidRPr="00663BD6">
        <w:rPr>
          <w:rFonts w:ascii="Verdana" w:hAnsi="Verdana" w:cs="Arial"/>
          <w:b/>
          <w:bCs/>
        </w:rPr>
        <w:t>Radicado del expediente</w:t>
      </w:r>
      <w:r w:rsidRPr="00663BD6">
        <w:rPr>
          <w:rFonts w:ascii="Verdana" w:hAnsi="Verdana" w:cs="Arial"/>
        </w:rPr>
        <w:t xml:space="preserve">: </w:t>
      </w:r>
    </w:p>
    <w:p w14:paraId="0A693F73" w14:textId="52D72227" w:rsidR="00B92FB1" w:rsidRPr="00663BD6" w:rsidRDefault="00B92FB1" w:rsidP="00195BDC">
      <w:pPr>
        <w:tabs>
          <w:tab w:val="left" w:pos="1905"/>
        </w:tabs>
        <w:spacing w:after="120"/>
        <w:rPr>
          <w:rFonts w:ascii="Verdana" w:hAnsi="Verdana" w:cs="Arial"/>
        </w:rPr>
      </w:pPr>
    </w:p>
    <w:p w14:paraId="50CF7D40" w14:textId="77777777" w:rsidR="00195BDC" w:rsidRPr="00663BD6" w:rsidRDefault="00195BDC" w:rsidP="00195BDC">
      <w:pPr>
        <w:pStyle w:val="Sinespaciado"/>
        <w:jc w:val="center"/>
        <w:rPr>
          <w:rFonts w:ascii="Verdana" w:hAnsi="Verdana" w:cs="Arial"/>
          <w:b/>
          <w:bCs/>
        </w:rPr>
      </w:pPr>
      <w:r w:rsidRPr="00663BD6">
        <w:rPr>
          <w:rFonts w:ascii="Verdana" w:hAnsi="Verdana" w:cs="Arial"/>
          <w:b/>
          <w:bCs/>
        </w:rPr>
        <w:t>CUESTIÓN PREVIA</w:t>
      </w:r>
    </w:p>
    <w:p w14:paraId="4304EC72" w14:textId="77777777" w:rsidR="00195BDC" w:rsidRPr="00663BD6" w:rsidRDefault="00195BDC" w:rsidP="00195BDC">
      <w:pPr>
        <w:pStyle w:val="Sinespaciado"/>
        <w:rPr>
          <w:rFonts w:ascii="Verdana" w:hAnsi="Verdana" w:cs="Arial"/>
          <w:b/>
          <w:bCs/>
        </w:rPr>
      </w:pPr>
    </w:p>
    <w:p w14:paraId="2EEFB658" w14:textId="2B93FF45" w:rsidR="00195BDC" w:rsidRPr="00663BD6" w:rsidRDefault="00195BDC" w:rsidP="00195BDC">
      <w:pPr>
        <w:pStyle w:val="Sinespaciado"/>
        <w:jc w:val="both"/>
        <w:rPr>
          <w:rFonts w:ascii="Verdana" w:hAnsi="Verdana" w:cs="Arial"/>
        </w:rPr>
      </w:pPr>
      <w:r w:rsidRPr="00663BD6">
        <w:rPr>
          <w:rFonts w:ascii="Verdana" w:hAnsi="Verdana" w:cs="Arial"/>
        </w:rPr>
        <w:t xml:space="preserve">El análisis que remite la Regional </w:t>
      </w:r>
      <w:r w:rsidR="00250F2B" w:rsidRPr="00663BD6">
        <w:rPr>
          <w:rFonts w:ascii="Verdana" w:hAnsi="Verdana" w:cs="Arial"/>
        </w:rPr>
        <w:t>XXXXXX</w:t>
      </w:r>
      <w:r w:rsidRPr="00663BD6">
        <w:rPr>
          <w:rFonts w:ascii="Verdana" w:hAnsi="Verdana" w:cs="Arial"/>
        </w:rPr>
        <w:t xml:space="preserve"> determina que procede iniciar acción de repetición al encontrar los elementos de la Ley 678 de 2001, como son (i) Calidad de Agente Estatal (ii) Existencia de una condena judicial (iii) Pago efectivo realizado por el Estado y la (</w:t>
      </w:r>
      <w:proofErr w:type="spellStart"/>
      <w:r w:rsidRPr="00663BD6">
        <w:rPr>
          <w:rFonts w:ascii="Verdana" w:hAnsi="Verdana" w:cs="Arial"/>
        </w:rPr>
        <w:t>iv</w:t>
      </w:r>
      <w:proofErr w:type="spellEnd"/>
      <w:r w:rsidRPr="00663BD6">
        <w:rPr>
          <w:rFonts w:ascii="Verdana" w:hAnsi="Verdana" w:cs="Arial"/>
        </w:rPr>
        <w:t>) cualificación de la conducta del Agente Estatal como dolosa o gravemente culposa.</w:t>
      </w:r>
    </w:p>
    <w:p w14:paraId="3D331B25" w14:textId="77777777" w:rsidR="00195BDC" w:rsidRPr="00663BD6" w:rsidRDefault="00195BDC" w:rsidP="00195BDC">
      <w:pPr>
        <w:pStyle w:val="Sinespaciado"/>
        <w:jc w:val="both"/>
        <w:rPr>
          <w:rFonts w:ascii="Verdana" w:hAnsi="Verdana" w:cs="Arial"/>
        </w:rPr>
      </w:pPr>
    </w:p>
    <w:p w14:paraId="6CA537BA" w14:textId="0C1D97FD" w:rsidR="00195BDC" w:rsidRPr="00663BD6" w:rsidRDefault="00195BDC" w:rsidP="00195BDC">
      <w:pPr>
        <w:pStyle w:val="Sinespaciado"/>
        <w:jc w:val="both"/>
        <w:rPr>
          <w:rFonts w:ascii="Verdana" w:hAnsi="Verdana" w:cs="Arial"/>
        </w:rPr>
      </w:pPr>
      <w:r w:rsidRPr="007C4E86">
        <w:rPr>
          <w:rFonts w:ascii="Verdana" w:hAnsi="Verdana" w:cs="Arial"/>
          <w:highlight w:val="yellow"/>
        </w:rPr>
        <w:t xml:space="preserve">La Oficina Jurídica </w:t>
      </w:r>
      <w:r w:rsidRPr="007C4E86">
        <w:rPr>
          <w:rFonts w:ascii="Verdana" w:hAnsi="Verdana" w:cs="Arial"/>
          <w:b/>
          <w:bCs/>
          <w:highlight w:val="yellow"/>
        </w:rPr>
        <w:t>NO</w:t>
      </w:r>
      <w:r w:rsidRPr="007C4E86">
        <w:rPr>
          <w:rFonts w:ascii="Verdana" w:hAnsi="Verdana" w:cs="Arial"/>
          <w:highlight w:val="yellow"/>
        </w:rPr>
        <w:t xml:space="preserve"> comparte la postura de la regional, por lo cual, realizará un análisis de los antecedentes y razonamientos jurídicos.</w:t>
      </w:r>
      <w:r w:rsidR="007C4E86">
        <w:rPr>
          <w:rFonts w:ascii="Verdana" w:hAnsi="Verdana" w:cs="Arial"/>
        </w:rPr>
        <w:t xml:space="preserve"> (Revisar la postura de la regional)</w:t>
      </w:r>
    </w:p>
    <w:p w14:paraId="1957B9E2" w14:textId="77777777" w:rsidR="00195BDC" w:rsidRPr="00663BD6" w:rsidRDefault="00195BDC" w:rsidP="00195BDC">
      <w:pPr>
        <w:pStyle w:val="Sinespaciado"/>
        <w:jc w:val="both"/>
        <w:rPr>
          <w:rFonts w:ascii="Verdana" w:hAnsi="Verdana" w:cs="Arial"/>
        </w:rPr>
      </w:pPr>
    </w:p>
    <w:p w14:paraId="5582C860" w14:textId="77777777" w:rsidR="00195BDC" w:rsidRPr="00663BD6" w:rsidRDefault="00195BDC" w:rsidP="00195BDC">
      <w:pPr>
        <w:pStyle w:val="Sinespaciado"/>
        <w:jc w:val="both"/>
        <w:rPr>
          <w:rFonts w:ascii="Verdana" w:hAnsi="Verdana" w:cs="Arial"/>
        </w:rPr>
      </w:pPr>
      <w:r w:rsidRPr="00663BD6">
        <w:rPr>
          <w:rFonts w:ascii="Verdana" w:hAnsi="Verdana" w:cs="Arial"/>
        </w:rPr>
        <w:t>En virtud de lo anterior, el presente análisis se determinará en primer lugar si se configuró la (i) caducidad de la acción de repetición, así mismo, si se cumplen (ii) procedencia de la acción de repetición.</w:t>
      </w:r>
    </w:p>
    <w:p w14:paraId="154DEA56" w14:textId="77777777" w:rsidR="00195BDC" w:rsidRPr="00663BD6" w:rsidRDefault="00195BDC" w:rsidP="00195BDC">
      <w:pPr>
        <w:pStyle w:val="Sinespaciado"/>
        <w:jc w:val="both"/>
        <w:rPr>
          <w:rFonts w:ascii="Verdana" w:hAnsi="Verdana" w:cs="Arial"/>
        </w:rPr>
      </w:pPr>
    </w:p>
    <w:p w14:paraId="6923A873" w14:textId="77777777" w:rsidR="00195BDC" w:rsidRPr="00663BD6" w:rsidRDefault="00195BDC" w:rsidP="00195BDC">
      <w:pPr>
        <w:pStyle w:val="Sinespaciado"/>
        <w:jc w:val="both"/>
        <w:rPr>
          <w:rFonts w:ascii="Verdana" w:hAnsi="Verdana" w:cs="Arial"/>
        </w:rPr>
      </w:pPr>
      <w:r w:rsidRPr="00663BD6">
        <w:rPr>
          <w:rFonts w:ascii="Verdana" w:hAnsi="Verdana" w:cs="Arial"/>
        </w:rPr>
        <w:t xml:space="preserve">En segundo lugar, se analizará la necesidad de la contratación, la normatividad que regula el título ejecutivo y las acciones procedentes del ICBF en el caso concreto. </w:t>
      </w:r>
    </w:p>
    <w:p w14:paraId="0D1FD247" w14:textId="77777777" w:rsidR="00250F2B" w:rsidRPr="00663BD6" w:rsidRDefault="00250F2B" w:rsidP="00195BDC">
      <w:pPr>
        <w:pStyle w:val="Sinespaciado"/>
        <w:jc w:val="both"/>
        <w:rPr>
          <w:rFonts w:ascii="Verdana" w:hAnsi="Verdana" w:cs="Arial"/>
        </w:rPr>
      </w:pPr>
    </w:p>
    <w:p w14:paraId="3F0875CA" w14:textId="77777777" w:rsidR="00250F2B" w:rsidRPr="00663BD6" w:rsidRDefault="00250F2B" w:rsidP="00250F2B">
      <w:pPr>
        <w:spacing w:after="0" w:line="240" w:lineRule="auto"/>
        <w:jc w:val="center"/>
        <w:rPr>
          <w:rFonts w:ascii="Verdana" w:hAnsi="Verdana" w:cs="Arial"/>
          <w:b/>
        </w:rPr>
      </w:pPr>
      <w:r w:rsidRPr="00663BD6">
        <w:rPr>
          <w:rFonts w:ascii="Verdana" w:hAnsi="Verdana" w:cs="Arial"/>
          <w:b/>
        </w:rPr>
        <w:t>DATOS DE LA CONDENA</w:t>
      </w:r>
    </w:p>
    <w:p w14:paraId="429BA3AB" w14:textId="77777777" w:rsidR="00250F2B" w:rsidRPr="00663BD6" w:rsidRDefault="00250F2B" w:rsidP="00250F2B">
      <w:pPr>
        <w:spacing w:after="0" w:line="240" w:lineRule="auto"/>
        <w:jc w:val="both"/>
        <w:rPr>
          <w:rFonts w:ascii="Verdana" w:hAnsi="Verdana" w:cs="Arial"/>
          <w:bCs/>
        </w:rPr>
      </w:pPr>
    </w:p>
    <w:p w14:paraId="67E2B66E" w14:textId="4B5FBF5B" w:rsidR="00250F2B" w:rsidRPr="00663BD6" w:rsidRDefault="00250F2B" w:rsidP="00250F2B">
      <w:pPr>
        <w:spacing w:after="0" w:line="240" w:lineRule="auto"/>
        <w:jc w:val="both"/>
        <w:rPr>
          <w:rFonts w:ascii="Verdana" w:hAnsi="Verdana" w:cs="Arial"/>
          <w:bCs/>
        </w:rPr>
      </w:pPr>
      <w:r w:rsidRPr="00663BD6">
        <w:rPr>
          <w:rFonts w:ascii="Verdana" w:hAnsi="Verdana" w:cs="Arial"/>
          <w:b/>
        </w:rPr>
        <w:t>Radicado</w:t>
      </w:r>
      <w:r w:rsidRPr="00663BD6">
        <w:rPr>
          <w:rFonts w:ascii="Verdana" w:hAnsi="Verdana" w:cs="Arial"/>
          <w:bCs/>
        </w:rPr>
        <w:t xml:space="preserve">: </w:t>
      </w:r>
    </w:p>
    <w:p w14:paraId="7F7D7598" w14:textId="333CEB37" w:rsidR="00250F2B" w:rsidRPr="00663BD6" w:rsidRDefault="00250F2B" w:rsidP="00250F2B">
      <w:pPr>
        <w:spacing w:after="0" w:line="240" w:lineRule="auto"/>
        <w:jc w:val="both"/>
        <w:rPr>
          <w:rFonts w:ascii="Verdana" w:hAnsi="Verdana" w:cs="Arial"/>
          <w:bCs/>
        </w:rPr>
      </w:pPr>
      <w:r w:rsidRPr="00663BD6">
        <w:rPr>
          <w:rFonts w:ascii="Verdana" w:hAnsi="Verdana" w:cs="Arial"/>
          <w:b/>
        </w:rPr>
        <w:t>Primera instancia:</w:t>
      </w:r>
      <w:r w:rsidRPr="00663BD6">
        <w:rPr>
          <w:rFonts w:ascii="Verdana" w:hAnsi="Verdana" w:cs="Arial"/>
          <w:bCs/>
        </w:rPr>
        <w:t xml:space="preserve"> </w:t>
      </w:r>
    </w:p>
    <w:p w14:paraId="0B154E0B" w14:textId="431858B3" w:rsidR="00250F2B" w:rsidRPr="00663BD6" w:rsidRDefault="00250F2B" w:rsidP="00250F2B">
      <w:pPr>
        <w:spacing w:after="0" w:line="240" w:lineRule="auto"/>
        <w:jc w:val="both"/>
        <w:rPr>
          <w:rFonts w:ascii="Verdana" w:hAnsi="Verdana" w:cs="Arial"/>
          <w:bCs/>
        </w:rPr>
      </w:pPr>
      <w:r w:rsidRPr="00663BD6">
        <w:rPr>
          <w:rFonts w:ascii="Verdana" w:hAnsi="Verdana" w:cs="Arial"/>
          <w:b/>
        </w:rPr>
        <w:t>Segunda instancia:</w:t>
      </w:r>
      <w:r w:rsidRPr="00663BD6">
        <w:rPr>
          <w:rFonts w:ascii="Verdana" w:hAnsi="Verdana" w:cs="Arial"/>
          <w:bCs/>
        </w:rPr>
        <w:t xml:space="preserve"> </w:t>
      </w:r>
    </w:p>
    <w:p w14:paraId="18D2B56D" w14:textId="77777777" w:rsidR="00250F2B" w:rsidRPr="00663BD6" w:rsidRDefault="00250F2B" w:rsidP="00195BDC">
      <w:pPr>
        <w:pStyle w:val="Sinespaciado"/>
        <w:jc w:val="both"/>
        <w:rPr>
          <w:rFonts w:ascii="Verdana" w:hAnsi="Verdana" w:cs="Arial"/>
        </w:rPr>
      </w:pPr>
    </w:p>
    <w:p w14:paraId="35D72504" w14:textId="77777777" w:rsidR="00250F2B" w:rsidRPr="00663BD6" w:rsidRDefault="00250F2B" w:rsidP="00250F2B">
      <w:pPr>
        <w:spacing w:after="0" w:line="240" w:lineRule="auto"/>
        <w:jc w:val="center"/>
        <w:rPr>
          <w:rFonts w:ascii="Verdana" w:hAnsi="Verdana" w:cs="Arial"/>
          <w:bCs/>
        </w:rPr>
      </w:pPr>
      <w:r w:rsidRPr="00663BD6">
        <w:rPr>
          <w:rFonts w:ascii="Verdana" w:hAnsi="Verdana" w:cs="Arial"/>
          <w:b/>
        </w:rPr>
        <w:t>CUMPLIMIENTO</w:t>
      </w:r>
    </w:p>
    <w:p w14:paraId="19B3E3FF" w14:textId="77777777" w:rsidR="00250F2B" w:rsidRPr="00663BD6" w:rsidRDefault="00250F2B" w:rsidP="00250F2B">
      <w:pPr>
        <w:spacing w:after="0" w:line="240" w:lineRule="auto"/>
        <w:jc w:val="both"/>
        <w:rPr>
          <w:rFonts w:ascii="Verdana" w:hAnsi="Verdana" w:cs="Arial"/>
          <w:bCs/>
        </w:rPr>
      </w:pPr>
    </w:p>
    <w:p w14:paraId="253E6370" w14:textId="77777777" w:rsidR="00250F2B" w:rsidRPr="00663BD6" w:rsidRDefault="00250F2B" w:rsidP="00250F2B">
      <w:pPr>
        <w:spacing w:after="0" w:line="240" w:lineRule="auto"/>
        <w:jc w:val="both"/>
        <w:rPr>
          <w:rFonts w:ascii="Verdana" w:hAnsi="Verdana" w:cs="Arial"/>
          <w:bCs/>
        </w:rPr>
      </w:pPr>
      <w:r w:rsidRPr="00663BD6">
        <w:rPr>
          <w:rFonts w:ascii="Verdana" w:hAnsi="Verdana" w:cs="Arial"/>
          <w:b/>
        </w:rPr>
        <w:t>FECHA DE PAGO Y COMPROBANTES DE EGRESO</w:t>
      </w:r>
      <w:r w:rsidRPr="00663BD6">
        <w:rPr>
          <w:rFonts w:ascii="Verdana" w:hAnsi="Verdana" w:cs="Arial"/>
          <w:bCs/>
        </w:rPr>
        <w:t xml:space="preserve">: Total pagado </w:t>
      </w:r>
    </w:p>
    <w:p w14:paraId="65798332" w14:textId="77777777" w:rsidR="00250F2B" w:rsidRPr="00663BD6" w:rsidRDefault="00250F2B" w:rsidP="00250F2B">
      <w:pPr>
        <w:spacing w:after="0" w:line="240" w:lineRule="auto"/>
        <w:jc w:val="both"/>
        <w:rPr>
          <w:rFonts w:ascii="Verdana" w:hAnsi="Verdana" w:cs="Arial"/>
          <w:bCs/>
        </w:rPr>
      </w:pPr>
    </w:p>
    <w:tbl>
      <w:tblPr>
        <w:tblStyle w:val="Tablaconcuadrcula"/>
        <w:tblW w:w="0" w:type="auto"/>
        <w:tblLook w:val="04A0" w:firstRow="1" w:lastRow="0" w:firstColumn="1" w:lastColumn="0" w:noHBand="0" w:noVBand="1"/>
      </w:tblPr>
      <w:tblGrid>
        <w:gridCol w:w="1561"/>
        <w:gridCol w:w="2020"/>
        <w:gridCol w:w="1722"/>
        <w:gridCol w:w="1974"/>
        <w:gridCol w:w="2118"/>
      </w:tblGrid>
      <w:tr w:rsidR="00250F2B" w:rsidRPr="00663BD6" w14:paraId="30DD04D6" w14:textId="77777777" w:rsidTr="00250F2B">
        <w:tc>
          <w:tcPr>
            <w:tcW w:w="1402" w:type="dxa"/>
            <w:tcBorders>
              <w:top w:val="single" w:sz="4" w:space="0" w:color="000000"/>
              <w:left w:val="single" w:sz="4" w:space="0" w:color="000000"/>
              <w:bottom w:val="single" w:sz="4" w:space="0" w:color="000000"/>
              <w:right w:val="single" w:sz="4" w:space="0" w:color="000000"/>
            </w:tcBorders>
            <w:hideMark/>
          </w:tcPr>
          <w:p w14:paraId="01AB0842" w14:textId="77777777" w:rsidR="00250F2B" w:rsidRPr="00663BD6" w:rsidRDefault="00250F2B">
            <w:pPr>
              <w:spacing w:after="0" w:line="240" w:lineRule="auto"/>
              <w:jc w:val="center"/>
              <w:rPr>
                <w:rFonts w:ascii="Verdana" w:hAnsi="Verdana" w:cs="Arial"/>
                <w:b/>
                <w:lang w:val="es-MX"/>
              </w:rPr>
            </w:pPr>
            <w:r w:rsidRPr="00663BD6">
              <w:rPr>
                <w:rFonts w:ascii="Verdana" w:hAnsi="Verdana" w:cs="Arial"/>
                <w:b/>
                <w:lang w:val="es-MX"/>
              </w:rPr>
              <w:t>No. Resolución</w:t>
            </w:r>
          </w:p>
        </w:tc>
        <w:tc>
          <w:tcPr>
            <w:tcW w:w="2041" w:type="dxa"/>
            <w:tcBorders>
              <w:top w:val="single" w:sz="4" w:space="0" w:color="000000"/>
              <w:left w:val="single" w:sz="4" w:space="0" w:color="000000"/>
              <w:bottom w:val="single" w:sz="4" w:space="0" w:color="000000"/>
              <w:right w:val="single" w:sz="4" w:space="0" w:color="000000"/>
            </w:tcBorders>
            <w:hideMark/>
          </w:tcPr>
          <w:p w14:paraId="19687F74" w14:textId="77777777" w:rsidR="00250F2B" w:rsidRPr="00663BD6" w:rsidRDefault="00250F2B">
            <w:pPr>
              <w:spacing w:after="0" w:line="240" w:lineRule="auto"/>
              <w:jc w:val="center"/>
              <w:rPr>
                <w:rFonts w:ascii="Verdana" w:hAnsi="Verdana" w:cs="Arial"/>
                <w:b/>
                <w:lang w:val="es-MX"/>
              </w:rPr>
            </w:pPr>
            <w:r w:rsidRPr="00663BD6">
              <w:rPr>
                <w:rFonts w:ascii="Verdana" w:hAnsi="Verdana" w:cs="Arial"/>
                <w:b/>
                <w:lang w:val="es-MX"/>
              </w:rPr>
              <w:t>Fecha de la resolución</w:t>
            </w:r>
          </w:p>
        </w:tc>
        <w:tc>
          <w:tcPr>
            <w:tcW w:w="1746" w:type="dxa"/>
            <w:tcBorders>
              <w:top w:val="single" w:sz="4" w:space="0" w:color="000000"/>
              <w:left w:val="single" w:sz="4" w:space="0" w:color="000000"/>
              <w:bottom w:val="single" w:sz="4" w:space="0" w:color="000000"/>
              <w:right w:val="single" w:sz="4" w:space="0" w:color="000000"/>
            </w:tcBorders>
            <w:hideMark/>
          </w:tcPr>
          <w:p w14:paraId="58EE56D0" w14:textId="77777777" w:rsidR="00250F2B" w:rsidRPr="00663BD6" w:rsidRDefault="00250F2B">
            <w:pPr>
              <w:spacing w:after="0" w:line="240" w:lineRule="auto"/>
              <w:jc w:val="center"/>
              <w:rPr>
                <w:rFonts w:ascii="Verdana" w:hAnsi="Verdana" w:cs="Arial"/>
                <w:b/>
                <w:lang w:val="es-MX"/>
              </w:rPr>
            </w:pPr>
            <w:r w:rsidRPr="00663BD6">
              <w:rPr>
                <w:rFonts w:ascii="Verdana" w:hAnsi="Verdana" w:cs="Arial"/>
                <w:b/>
                <w:lang w:val="es-MX"/>
              </w:rPr>
              <w:t>Valor pagado</w:t>
            </w:r>
          </w:p>
        </w:tc>
        <w:tc>
          <w:tcPr>
            <w:tcW w:w="2014" w:type="dxa"/>
            <w:tcBorders>
              <w:top w:val="single" w:sz="4" w:space="0" w:color="000000"/>
              <w:left w:val="single" w:sz="4" w:space="0" w:color="000000"/>
              <w:bottom w:val="single" w:sz="4" w:space="0" w:color="000000"/>
              <w:right w:val="single" w:sz="4" w:space="0" w:color="000000"/>
            </w:tcBorders>
            <w:hideMark/>
          </w:tcPr>
          <w:p w14:paraId="4A8559F4" w14:textId="77777777" w:rsidR="00250F2B" w:rsidRPr="00663BD6" w:rsidRDefault="00250F2B">
            <w:pPr>
              <w:spacing w:after="0" w:line="240" w:lineRule="auto"/>
              <w:jc w:val="center"/>
              <w:rPr>
                <w:rFonts w:ascii="Verdana" w:hAnsi="Verdana" w:cs="Arial"/>
                <w:b/>
                <w:lang w:val="es-MX"/>
              </w:rPr>
            </w:pPr>
            <w:r w:rsidRPr="00663BD6">
              <w:rPr>
                <w:rFonts w:ascii="Verdana" w:hAnsi="Verdana" w:cs="Arial"/>
                <w:b/>
                <w:lang w:val="es-MX"/>
              </w:rPr>
              <w:t xml:space="preserve">No. Orden de pago </w:t>
            </w:r>
          </w:p>
        </w:tc>
        <w:tc>
          <w:tcPr>
            <w:tcW w:w="2155" w:type="dxa"/>
            <w:tcBorders>
              <w:top w:val="single" w:sz="4" w:space="0" w:color="000000"/>
              <w:left w:val="single" w:sz="4" w:space="0" w:color="000000"/>
              <w:bottom w:val="single" w:sz="4" w:space="0" w:color="000000"/>
              <w:right w:val="single" w:sz="4" w:space="0" w:color="000000"/>
            </w:tcBorders>
            <w:hideMark/>
          </w:tcPr>
          <w:p w14:paraId="78D8D129" w14:textId="77777777" w:rsidR="00250F2B" w:rsidRPr="00663BD6" w:rsidRDefault="00250F2B">
            <w:pPr>
              <w:spacing w:after="0" w:line="240" w:lineRule="auto"/>
              <w:jc w:val="center"/>
              <w:rPr>
                <w:rFonts w:ascii="Verdana" w:hAnsi="Verdana" w:cs="Arial"/>
                <w:b/>
                <w:lang w:val="es-MX"/>
              </w:rPr>
            </w:pPr>
            <w:r w:rsidRPr="00663BD6">
              <w:rPr>
                <w:rFonts w:ascii="Verdana" w:hAnsi="Verdana" w:cs="Arial"/>
                <w:b/>
                <w:lang w:val="es-MX"/>
              </w:rPr>
              <w:t>Fecha de registro Orden de Pago</w:t>
            </w:r>
          </w:p>
        </w:tc>
      </w:tr>
      <w:tr w:rsidR="00250F2B" w:rsidRPr="00663BD6" w14:paraId="5A8EC729" w14:textId="77777777" w:rsidTr="00250F2B">
        <w:trPr>
          <w:trHeight w:val="413"/>
        </w:trPr>
        <w:tc>
          <w:tcPr>
            <w:tcW w:w="1402" w:type="dxa"/>
            <w:tcBorders>
              <w:top w:val="single" w:sz="4" w:space="0" w:color="000000"/>
              <w:left w:val="single" w:sz="4" w:space="0" w:color="000000"/>
              <w:bottom w:val="single" w:sz="4" w:space="0" w:color="000000"/>
              <w:right w:val="single" w:sz="4" w:space="0" w:color="000000"/>
            </w:tcBorders>
          </w:tcPr>
          <w:p w14:paraId="2A0F51CC" w14:textId="77777777" w:rsidR="00250F2B" w:rsidRPr="00663BD6" w:rsidRDefault="00250F2B">
            <w:pPr>
              <w:spacing w:after="0" w:line="240" w:lineRule="auto"/>
              <w:jc w:val="center"/>
              <w:rPr>
                <w:rFonts w:ascii="Verdana" w:hAnsi="Verdana" w:cs="Arial"/>
                <w:lang w:val="es-MX"/>
              </w:rPr>
            </w:pPr>
          </w:p>
        </w:tc>
        <w:tc>
          <w:tcPr>
            <w:tcW w:w="2041" w:type="dxa"/>
            <w:tcBorders>
              <w:top w:val="single" w:sz="4" w:space="0" w:color="000000"/>
              <w:left w:val="single" w:sz="4" w:space="0" w:color="000000"/>
              <w:bottom w:val="single" w:sz="4" w:space="0" w:color="000000"/>
              <w:right w:val="single" w:sz="4" w:space="0" w:color="000000"/>
            </w:tcBorders>
          </w:tcPr>
          <w:p w14:paraId="28C1C099" w14:textId="77777777" w:rsidR="00250F2B" w:rsidRPr="00663BD6" w:rsidRDefault="00250F2B">
            <w:pPr>
              <w:spacing w:after="0" w:line="240" w:lineRule="auto"/>
              <w:jc w:val="both"/>
              <w:rPr>
                <w:rFonts w:ascii="Verdana" w:hAnsi="Verdana" w:cs="Arial"/>
                <w:lang w:val="es-MX"/>
              </w:rPr>
            </w:pPr>
          </w:p>
        </w:tc>
        <w:tc>
          <w:tcPr>
            <w:tcW w:w="1746" w:type="dxa"/>
            <w:tcBorders>
              <w:top w:val="single" w:sz="4" w:space="0" w:color="000000"/>
              <w:left w:val="single" w:sz="4" w:space="0" w:color="000000"/>
              <w:bottom w:val="single" w:sz="4" w:space="0" w:color="000000"/>
              <w:right w:val="single" w:sz="4" w:space="0" w:color="000000"/>
            </w:tcBorders>
          </w:tcPr>
          <w:p w14:paraId="2C067DFB" w14:textId="77777777" w:rsidR="00250F2B" w:rsidRPr="00663BD6" w:rsidRDefault="00250F2B">
            <w:pPr>
              <w:spacing w:after="0" w:line="240" w:lineRule="auto"/>
              <w:jc w:val="right"/>
              <w:rPr>
                <w:rFonts w:ascii="Verdana" w:hAnsi="Verdana" w:cs="Arial"/>
                <w:lang w:val="es-MX"/>
              </w:rPr>
            </w:pPr>
          </w:p>
        </w:tc>
        <w:tc>
          <w:tcPr>
            <w:tcW w:w="2014" w:type="dxa"/>
            <w:tcBorders>
              <w:top w:val="single" w:sz="4" w:space="0" w:color="000000"/>
              <w:left w:val="single" w:sz="4" w:space="0" w:color="000000"/>
              <w:bottom w:val="single" w:sz="4" w:space="0" w:color="000000"/>
              <w:right w:val="single" w:sz="4" w:space="0" w:color="000000"/>
            </w:tcBorders>
          </w:tcPr>
          <w:p w14:paraId="101BDC34" w14:textId="77777777" w:rsidR="00250F2B" w:rsidRPr="00663BD6" w:rsidRDefault="00250F2B">
            <w:pPr>
              <w:spacing w:after="0" w:line="240" w:lineRule="auto"/>
              <w:rPr>
                <w:rFonts w:ascii="Verdana" w:hAnsi="Verdana" w:cs="Arial"/>
                <w:lang w:val="es-MX"/>
              </w:rPr>
            </w:pPr>
          </w:p>
        </w:tc>
        <w:tc>
          <w:tcPr>
            <w:tcW w:w="2155" w:type="dxa"/>
            <w:tcBorders>
              <w:top w:val="single" w:sz="4" w:space="0" w:color="000000"/>
              <w:left w:val="single" w:sz="4" w:space="0" w:color="000000"/>
              <w:bottom w:val="single" w:sz="4" w:space="0" w:color="000000"/>
              <w:right w:val="single" w:sz="4" w:space="0" w:color="000000"/>
            </w:tcBorders>
          </w:tcPr>
          <w:p w14:paraId="17DB7E73" w14:textId="77777777" w:rsidR="00250F2B" w:rsidRPr="00663BD6" w:rsidRDefault="00250F2B">
            <w:pPr>
              <w:spacing w:after="0" w:line="240" w:lineRule="auto"/>
              <w:rPr>
                <w:rFonts w:ascii="Verdana" w:hAnsi="Verdana" w:cs="Arial"/>
                <w:lang w:val="es-MX"/>
              </w:rPr>
            </w:pPr>
          </w:p>
        </w:tc>
      </w:tr>
      <w:tr w:rsidR="00250F2B" w:rsidRPr="00663BD6" w14:paraId="562BF082" w14:textId="77777777" w:rsidTr="00250F2B">
        <w:trPr>
          <w:trHeight w:val="111"/>
        </w:trPr>
        <w:tc>
          <w:tcPr>
            <w:tcW w:w="1402" w:type="dxa"/>
            <w:tcBorders>
              <w:top w:val="single" w:sz="4" w:space="0" w:color="000000"/>
              <w:left w:val="single" w:sz="4" w:space="0" w:color="000000"/>
              <w:bottom w:val="single" w:sz="4" w:space="0" w:color="000000"/>
              <w:right w:val="single" w:sz="4" w:space="0" w:color="000000"/>
            </w:tcBorders>
          </w:tcPr>
          <w:p w14:paraId="327B5161" w14:textId="77777777" w:rsidR="00250F2B" w:rsidRPr="00663BD6" w:rsidRDefault="00250F2B">
            <w:pPr>
              <w:spacing w:after="0" w:line="240" w:lineRule="auto"/>
              <w:jc w:val="center"/>
              <w:rPr>
                <w:rFonts w:ascii="Verdana" w:hAnsi="Verdana" w:cs="Arial"/>
                <w:lang w:val="es-MX"/>
              </w:rPr>
            </w:pPr>
          </w:p>
        </w:tc>
        <w:tc>
          <w:tcPr>
            <w:tcW w:w="2041" w:type="dxa"/>
            <w:tcBorders>
              <w:top w:val="single" w:sz="4" w:space="0" w:color="000000"/>
              <w:left w:val="single" w:sz="4" w:space="0" w:color="000000"/>
              <w:bottom w:val="single" w:sz="4" w:space="0" w:color="000000"/>
              <w:right w:val="single" w:sz="4" w:space="0" w:color="000000"/>
            </w:tcBorders>
          </w:tcPr>
          <w:p w14:paraId="3FEDB5C7" w14:textId="77777777" w:rsidR="00250F2B" w:rsidRPr="00663BD6" w:rsidRDefault="00250F2B">
            <w:pPr>
              <w:spacing w:after="0" w:line="240" w:lineRule="auto"/>
              <w:jc w:val="both"/>
              <w:rPr>
                <w:rFonts w:ascii="Verdana" w:hAnsi="Verdana" w:cs="Arial"/>
                <w:lang w:val="es-MX"/>
              </w:rPr>
            </w:pPr>
          </w:p>
        </w:tc>
        <w:tc>
          <w:tcPr>
            <w:tcW w:w="1746" w:type="dxa"/>
            <w:tcBorders>
              <w:top w:val="single" w:sz="4" w:space="0" w:color="000000"/>
              <w:left w:val="single" w:sz="4" w:space="0" w:color="000000"/>
              <w:bottom w:val="single" w:sz="4" w:space="0" w:color="000000"/>
              <w:right w:val="single" w:sz="4" w:space="0" w:color="000000"/>
            </w:tcBorders>
          </w:tcPr>
          <w:p w14:paraId="1D636E55" w14:textId="77777777" w:rsidR="00250F2B" w:rsidRPr="00663BD6" w:rsidRDefault="00250F2B">
            <w:pPr>
              <w:spacing w:after="0" w:line="240" w:lineRule="auto"/>
              <w:jc w:val="right"/>
              <w:rPr>
                <w:rFonts w:ascii="Verdana" w:hAnsi="Verdana" w:cs="Arial"/>
                <w:lang w:val="es-MX"/>
              </w:rPr>
            </w:pPr>
          </w:p>
        </w:tc>
        <w:tc>
          <w:tcPr>
            <w:tcW w:w="2014" w:type="dxa"/>
            <w:tcBorders>
              <w:top w:val="single" w:sz="4" w:space="0" w:color="000000"/>
              <w:left w:val="single" w:sz="4" w:space="0" w:color="000000"/>
              <w:bottom w:val="single" w:sz="4" w:space="0" w:color="000000"/>
              <w:right w:val="single" w:sz="4" w:space="0" w:color="000000"/>
            </w:tcBorders>
          </w:tcPr>
          <w:p w14:paraId="0A8C80F5" w14:textId="77777777" w:rsidR="00250F2B" w:rsidRPr="00663BD6" w:rsidRDefault="00250F2B">
            <w:pPr>
              <w:spacing w:after="0" w:line="240" w:lineRule="auto"/>
              <w:rPr>
                <w:rFonts w:ascii="Verdana" w:hAnsi="Verdana" w:cs="Arial"/>
                <w:lang w:val="es-MX"/>
              </w:rPr>
            </w:pPr>
          </w:p>
        </w:tc>
        <w:tc>
          <w:tcPr>
            <w:tcW w:w="2155" w:type="dxa"/>
            <w:tcBorders>
              <w:top w:val="single" w:sz="4" w:space="0" w:color="000000"/>
              <w:left w:val="single" w:sz="4" w:space="0" w:color="000000"/>
              <w:bottom w:val="single" w:sz="4" w:space="0" w:color="000000"/>
              <w:right w:val="single" w:sz="4" w:space="0" w:color="000000"/>
            </w:tcBorders>
          </w:tcPr>
          <w:p w14:paraId="4B3BF4D2" w14:textId="77777777" w:rsidR="00250F2B" w:rsidRPr="00663BD6" w:rsidRDefault="00250F2B">
            <w:pPr>
              <w:spacing w:after="0" w:line="240" w:lineRule="auto"/>
              <w:rPr>
                <w:rFonts w:ascii="Verdana" w:hAnsi="Verdana" w:cs="Arial"/>
                <w:lang w:val="es-MX"/>
              </w:rPr>
            </w:pPr>
          </w:p>
        </w:tc>
      </w:tr>
      <w:tr w:rsidR="00250F2B" w:rsidRPr="00663BD6" w14:paraId="5F08A02E" w14:textId="77777777" w:rsidTr="00250F2B">
        <w:trPr>
          <w:trHeight w:val="111"/>
        </w:trPr>
        <w:tc>
          <w:tcPr>
            <w:tcW w:w="1402" w:type="dxa"/>
            <w:tcBorders>
              <w:top w:val="single" w:sz="4" w:space="0" w:color="000000"/>
              <w:left w:val="single" w:sz="4" w:space="0" w:color="000000"/>
              <w:bottom w:val="single" w:sz="4" w:space="0" w:color="000000"/>
              <w:right w:val="single" w:sz="4" w:space="0" w:color="000000"/>
            </w:tcBorders>
          </w:tcPr>
          <w:p w14:paraId="6EB68B5B" w14:textId="77777777" w:rsidR="00250F2B" w:rsidRPr="00663BD6" w:rsidRDefault="00250F2B">
            <w:pPr>
              <w:spacing w:after="0" w:line="240" w:lineRule="auto"/>
              <w:jc w:val="center"/>
              <w:rPr>
                <w:rFonts w:ascii="Verdana" w:hAnsi="Verdana" w:cs="Arial"/>
                <w:lang w:val="es-MX"/>
              </w:rPr>
            </w:pPr>
          </w:p>
        </w:tc>
        <w:tc>
          <w:tcPr>
            <w:tcW w:w="2041" w:type="dxa"/>
            <w:tcBorders>
              <w:top w:val="single" w:sz="4" w:space="0" w:color="000000"/>
              <w:left w:val="single" w:sz="4" w:space="0" w:color="000000"/>
              <w:bottom w:val="single" w:sz="4" w:space="0" w:color="000000"/>
              <w:right w:val="single" w:sz="4" w:space="0" w:color="000000"/>
            </w:tcBorders>
          </w:tcPr>
          <w:p w14:paraId="6C0D23FB" w14:textId="77777777" w:rsidR="00250F2B" w:rsidRPr="00663BD6" w:rsidRDefault="00250F2B">
            <w:pPr>
              <w:spacing w:after="0" w:line="240" w:lineRule="auto"/>
              <w:jc w:val="both"/>
              <w:rPr>
                <w:rFonts w:ascii="Verdana" w:hAnsi="Verdana" w:cs="Arial"/>
                <w:lang w:val="es-MX"/>
              </w:rPr>
            </w:pPr>
          </w:p>
        </w:tc>
        <w:tc>
          <w:tcPr>
            <w:tcW w:w="1746" w:type="dxa"/>
            <w:tcBorders>
              <w:top w:val="single" w:sz="4" w:space="0" w:color="000000"/>
              <w:left w:val="single" w:sz="4" w:space="0" w:color="000000"/>
              <w:bottom w:val="single" w:sz="4" w:space="0" w:color="000000"/>
              <w:right w:val="single" w:sz="4" w:space="0" w:color="000000"/>
            </w:tcBorders>
          </w:tcPr>
          <w:p w14:paraId="4F2A5330" w14:textId="77777777" w:rsidR="00250F2B" w:rsidRPr="00663BD6" w:rsidRDefault="00250F2B">
            <w:pPr>
              <w:spacing w:after="0" w:line="240" w:lineRule="auto"/>
              <w:jc w:val="right"/>
              <w:rPr>
                <w:rFonts w:ascii="Verdana" w:hAnsi="Verdana" w:cs="Arial"/>
                <w:lang w:val="es-MX"/>
              </w:rPr>
            </w:pPr>
          </w:p>
        </w:tc>
        <w:tc>
          <w:tcPr>
            <w:tcW w:w="2014" w:type="dxa"/>
            <w:tcBorders>
              <w:top w:val="single" w:sz="4" w:space="0" w:color="000000"/>
              <w:left w:val="single" w:sz="4" w:space="0" w:color="000000"/>
              <w:bottom w:val="single" w:sz="4" w:space="0" w:color="000000"/>
              <w:right w:val="single" w:sz="4" w:space="0" w:color="000000"/>
            </w:tcBorders>
          </w:tcPr>
          <w:p w14:paraId="25C62DC8" w14:textId="77777777" w:rsidR="00250F2B" w:rsidRPr="00663BD6" w:rsidRDefault="00250F2B">
            <w:pPr>
              <w:spacing w:after="0" w:line="240" w:lineRule="auto"/>
              <w:rPr>
                <w:rFonts w:ascii="Verdana" w:hAnsi="Verdana" w:cs="Arial"/>
                <w:lang w:val="es-MX"/>
              </w:rPr>
            </w:pPr>
          </w:p>
        </w:tc>
        <w:tc>
          <w:tcPr>
            <w:tcW w:w="2155" w:type="dxa"/>
            <w:tcBorders>
              <w:top w:val="single" w:sz="4" w:space="0" w:color="000000"/>
              <w:left w:val="single" w:sz="4" w:space="0" w:color="000000"/>
              <w:bottom w:val="single" w:sz="4" w:space="0" w:color="000000"/>
              <w:right w:val="single" w:sz="4" w:space="0" w:color="000000"/>
            </w:tcBorders>
          </w:tcPr>
          <w:p w14:paraId="3ED7273A" w14:textId="77777777" w:rsidR="00250F2B" w:rsidRPr="00663BD6" w:rsidRDefault="00250F2B">
            <w:pPr>
              <w:spacing w:after="0" w:line="240" w:lineRule="auto"/>
              <w:rPr>
                <w:rFonts w:ascii="Verdana" w:hAnsi="Verdana" w:cs="Arial"/>
                <w:lang w:val="es-MX"/>
              </w:rPr>
            </w:pPr>
          </w:p>
        </w:tc>
      </w:tr>
    </w:tbl>
    <w:p w14:paraId="68F5E2D2" w14:textId="77777777" w:rsidR="00250F2B" w:rsidRPr="00663BD6" w:rsidRDefault="00250F2B" w:rsidP="00250F2B">
      <w:pPr>
        <w:spacing w:line="240" w:lineRule="auto"/>
        <w:jc w:val="center"/>
        <w:rPr>
          <w:rFonts w:ascii="Verdana" w:hAnsi="Verdana" w:cs="Arial"/>
          <w:b/>
          <w:bCs/>
          <w:lang w:val="es-CO"/>
        </w:rPr>
      </w:pPr>
    </w:p>
    <w:p w14:paraId="3C0B7186" w14:textId="77777777" w:rsidR="00250F2B" w:rsidRPr="00663BD6" w:rsidRDefault="00250F2B" w:rsidP="00250F2B">
      <w:pPr>
        <w:spacing w:line="240" w:lineRule="auto"/>
        <w:jc w:val="center"/>
        <w:rPr>
          <w:rFonts w:ascii="Verdana" w:hAnsi="Verdana" w:cs="Arial"/>
          <w:b/>
          <w:bCs/>
          <w:lang w:val="es-CO"/>
        </w:rPr>
      </w:pPr>
      <w:r w:rsidRPr="00663BD6">
        <w:rPr>
          <w:rFonts w:ascii="Verdana" w:hAnsi="Verdana" w:cs="Arial"/>
          <w:b/>
          <w:bCs/>
          <w:lang w:val="es-CO"/>
        </w:rPr>
        <w:t>ANÁLISIS DE CADUCIDAD</w:t>
      </w:r>
    </w:p>
    <w:p w14:paraId="1E0EF65A" w14:textId="77777777" w:rsidR="00250F2B" w:rsidRPr="00663BD6" w:rsidRDefault="00250F2B" w:rsidP="00250F2B">
      <w:pPr>
        <w:spacing w:line="240" w:lineRule="auto"/>
        <w:jc w:val="both"/>
        <w:rPr>
          <w:rFonts w:ascii="Verdana" w:hAnsi="Verdana" w:cs="Arial"/>
          <w:lang w:val="es-CO"/>
        </w:rPr>
      </w:pPr>
      <w:r w:rsidRPr="00663BD6">
        <w:rPr>
          <w:rFonts w:ascii="Verdana" w:hAnsi="Verdana" w:cs="Arial"/>
          <w:lang w:val="es-CO"/>
        </w:rPr>
        <w:lastRenderedPageBreak/>
        <w:t>El término de caducidad de la acción de repetición es de cinco (5)</w:t>
      </w:r>
      <w:r w:rsidRPr="00663BD6">
        <w:rPr>
          <w:rStyle w:val="Refdenotaalpie"/>
          <w:rFonts w:ascii="Verdana" w:hAnsi="Verdana" w:cs="Arial"/>
          <w:lang w:val="es-CO"/>
        </w:rPr>
        <w:footnoteReference w:id="1"/>
      </w:r>
      <w:r w:rsidRPr="00663BD6">
        <w:rPr>
          <w:rFonts w:ascii="Verdana" w:hAnsi="Verdana" w:cs="Arial"/>
          <w:lang w:val="es-CO"/>
        </w:rPr>
        <w:t xml:space="preserve"> años, al respecto, la normatividad establece dos (2) situaciones, la primera es que la sentencia se pague dentro del término, el cual es de diez (10) meses y de cumplirse ello, el término se contabilizará desde la fecha del pago de la sentencia.</w:t>
      </w:r>
    </w:p>
    <w:p w14:paraId="3F0D97EA" w14:textId="77777777" w:rsidR="00250F2B" w:rsidRPr="00663BD6" w:rsidRDefault="00250F2B" w:rsidP="00250F2B">
      <w:pPr>
        <w:spacing w:line="240" w:lineRule="auto"/>
        <w:jc w:val="both"/>
        <w:rPr>
          <w:rFonts w:ascii="Verdana" w:hAnsi="Verdana" w:cs="Arial"/>
          <w:lang w:val="es-CO"/>
        </w:rPr>
      </w:pPr>
      <w:r w:rsidRPr="00663BD6">
        <w:rPr>
          <w:rFonts w:ascii="Verdana" w:hAnsi="Verdana" w:cs="Arial"/>
          <w:lang w:val="es-CO"/>
        </w:rPr>
        <w:t>La segunda situación es que, la sentencia se pague con posterioridad al término y de ser así, la caducidad deberá contabilizarse desde el cumplimiento del plazo para pagar, es decir, a partir del cumplimiento de los diez (10) meses.</w:t>
      </w:r>
    </w:p>
    <w:tbl>
      <w:tblPr>
        <w:tblW w:w="8788"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311"/>
        <w:gridCol w:w="2126"/>
        <w:gridCol w:w="2268"/>
      </w:tblGrid>
      <w:tr w:rsidR="00250F2B" w:rsidRPr="00663BD6" w14:paraId="4326DD94" w14:textId="77777777" w:rsidTr="00250F2B">
        <w:trPr>
          <w:trHeight w:val="249"/>
        </w:trPr>
        <w:tc>
          <w:tcPr>
            <w:tcW w:w="2083" w:type="dxa"/>
            <w:tcBorders>
              <w:top w:val="single" w:sz="4" w:space="0" w:color="auto"/>
              <w:left w:val="single" w:sz="4" w:space="0" w:color="auto"/>
              <w:bottom w:val="single" w:sz="4" w:space="0" w:color="auto"/>
              <w:right w:val="single" w:sz="4" w:space="0" w:color="auto"/>
            </w:tcBorders>
            <w:vAlign w:val="center"/>
            <w:hideMark/>
          </w:tcPr>
          <w:p w14:paraId="0789AED9" w14:textId="77777777" w:rsidR="00250F2B" w:rsidRPr="00663BD6" w:rsidRDefault="00250F2B">
            <w:pPr>
              <w:spacing w:after="0" w:line="240" w:lineRule="auto"/>
              <w:jc w:val="center"/>
              <w:rPr>
                <w:rFonts w:ascii="Verdana" w:hAnsi="Verdana" w:cs="Arial"/>
                <w:b/>
                <w:lang w:val="es-CO"/>
              </w:rPr>
            </w:pPr>
            <w:r w:rsidRPr="00663BD6">
              <w:rPr>
                <w:rFonts w:ascii="Verdana" w:hAnsi="Verdana" w:cs="Arial"/>
                <w:b/>
                <w:lang w:val="es-CO"/>
              </w:rPr>
              <w:t xml:space="preserve">Ejecutoria </w:t>
            </w:r>
          </w:p>
        </w:tc>
        <w:tc>
          <w:tcPr>
            <w:tcW w:w="2311" w:type="dxa"/>
            <w:tcBorders>
              <w:top w:val="single" w:sz="4" w:space="0" w:color="auto"/>
              <w:left w:val="single" w:sz="4" w:space="0" w:color="auto"/>
              <w:bottom w:val="single" w:sz="4" w:space="0" w:color="auto"/>
              <w:right w:val="single" w:sz="4" w:space="0" w:color="auto"/>
            </w:tcBorders>
            <w:vAlign w:val="center"/>
            <w:hideMark/>
          </w:tcPr>
          <w:p w14:paraId="48056F35" w14:textId="77777777" w:rsidR="00250F2B" w:rsidRPr="00663BD6" w:rsidRDefault="00250F2B">
            <w:pPr>
              <w:spacing w:after="0" w:line="240" w:lineRule="auto"/>
              <w:jc w:val="center"/>
              <w:rPr>
                <w:rFonts w:ascii="Verdana" w:hAnsi="Verdana" w:cs="Arial"/>
                <w:b/>
                <w:lang w:val="es-CO"/>
              </w:rPr>
            </w:pPr>
            <w:r w:rsidRPr="00663BD6">
              <w:rPr>
                <w:rFonts w:ascii="Verdana" w:hAnsi="Verdana" w:cs="Arial"/>
                <w:b/>
                <w:lang w:val="es-CO"/>
              </w:rPr>
              <w:t>Término para pagar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881CD2" w14:textId="77777777" w:rsidR="00250F2B" w:rsidRPr="00663BD6" w:rsidRDefault="00250F2B">
            <w:pPr>
              <w:spacing w:after="0" w:line="240" w:lineRule="auto"/>
              <w:jc w:val="center"/>
              <w:rPr>
                <w:rFonts w:ascii="Verdana" w:hAnsi="Verdana" w:cs="Arial"/>
                <w:b/>
                <w:lang w:val="es-CO"/>
              </w:rPr>
            </w:pPr>
            <w:r w:rsidRPr="00663BD6">
              <w:rPr>
                <w:rFonts w:ascii="Verdana" w:hAnsi="Verdana" w:cs="Arial"/>
                <w:b/>
                <w:lang w:val="es-CO"/>
              </w:rPr>
              <w:t>Fecha de pago</w:t>
            </w:r>
          </w:p>
        </w:tc>
        <w:tc>
          <w:tcPr>
            <w:tcW w:w="2268" w:type="dxa"/>
            <w:tcBorders>
              <w:top w:val="single" w:sz="4" w:space="0" w:color="auto"/>
              <w:left w:val="single" w:sz="4" w:space="0" w:color="auto"/>
              <w:bottom w:val="single" w:sz="4" w:space="0" w:color="auto"/>
              <w:right w:val="single" w:sz="4" w:space="0" w:color="auto"/>
            </w:tcBorders>
            <w:hideMark/>
          </w:tcPr>
          <w:p w14:paraId="67C67296" w14:textId="77777777" w:rsidR="00250F2B" w:rsidRPr="00663BD6" w:rsidRDefault="00250F2B">
            <w:pPr>
              <w:spacing w:after="0" w:line="240" w:lineRule="auto"/>
              <w:jc w:val="center"/>
              <w:rPr>
                <w:rFonts w:ascii="Verdana" w:hAnsi="Verdana" w:cs="Arial"/>
                <w:b/>
                <w:lang w:val="es-CO"/>
              </w:rPr>
            </w:pPr>
            <w:r w:rsidRPr="00663BD6">
              <w:rPr>
                <w:rFonts w:ascii="Verdana" w:hAnsi="Verdana" w:cs="Arial"/>
                <w:b/>
                <w:lang w:val="es-CO"/>
              </w:rPr>
              <w:t>Caducidad</w:t>
            </w:r>
          </w:p>
        </w:tc>
      </w:tr>
      <w:tr w:rsidR="00250F2B" w:rsidRPr="00663BD6" w14:paraId="3E7D18D9" w14:textId="77777777" w:rsidTr="00250F2B">
        <w:trPr>
          <w:trHeight w:val="249"/>
        </w:trPr>
        <w:tc>
          <w:tcPr>
            <w:tcW w:w="2083" w:type="dxa"/>
            <w:tcBorders>
              <w:top w:val="single" w:sz="4" w:space="0" w:color="auto"/>
              <w:left w:val="single" w:sz="4" w:space="0" w:color="auto"/>
              <w:bottom w:val="single" w:sz="4" w:space="0" w:color="auto"/>
              <w:right w:val="single" w:sz="4" w:space="0" w:color="auto"/>
            </w:tcBorders>
            <w:vAlign w:val="center"/>
          </w:tcPr>
          <w:p w14:paraId="450F3E9F" w14:textId="0E90E682" w:rsidR="00250F2B" w:rsidRPr="007C4E86" w:rsidRDefault="007C4E86">
            <w:pPr>
              <w:spacing w:after="0" w:line="240" w:lineRule="auto"/>
              <w:jc w:val="center"/>
              <w:rPr>
                <w:rFonts w:ascii="Verdana" w:hAnsi="Verdana" w:cs="Arial"/>
                <w:highlight w:val="yellow"/>
                <w:lang w:val="es-CO"/>
              </w:rPr>
            </w:pPr>
            <w:proofErr w:type="spellStart"/>
            <w:r w:rsidRPr="007C4E86">
              <w:rPr>
                <w:rFonts w:ascii="Verdana" w:hAnsi="Verdana" w:cs="Arial"/>
                <w:highlight w:val="yellow"/>
                <w:lang w:val="es-CO"/>
              </w:rPr>
              <w:t>xxxxx</w:t>
            </w:r>
            <w:proofErr w:type="spellEnd"/>
          </w:p>
        </w:tc>
        <w:tc>
          <w:tcPr>
            <w:tcW w:w="2311" w:type="dxa"/>
            <w:tcBorders>
              <w:top w:val="single" w:sz="4" w:space="0" w:color="auto"/>
              <w:left w:val="single" w:sz="4" w:space="0" w:color="auto"/>
              <w:bottom w:val="single" w:sz="4" w:space="0" w:color="auto"/>
              <w:right w:val="single" w:sz="4" w:space="0" w:color="auto"/>
            </w:tcBorders>
            <w:vAlign w:val="center"/>
          </w:tcPr>
          <w:p w14:paraId="74E23B04" w14:textId="56EE4C43" w:rsidR="00250F2B" w:rsidRPr="007C4E86" w:rsidRDefault="007C4E86">
            <w:pPr>
              <w:spacing w:after="0" w:line="240" w:lineRule="auto"/>
              <w:jc w:val="center"/>
              <w:rPr>
                <w:rFonts w:ascii="Verdana" w:hAnsi="Verdana" w:cs="Arial"/>
                <w:highlight w:val="yellow"/>
                <w:lang w:val="es-CO"/>
              </w:rPr>
            </w:pPr>
            <w:proofErr w:type="spellStart"/>
            <w:r w:rsidRPr="007C4E86">
              <w:rPr>
                <w:rFonts w:ascii="Verdana" w:hAnsi="Verdana" w:cs="Arial"/>
                <w:highlight w:val="yellow"/>
                <w:lang w:val="es-CO"/>
              </w:rPr>
              <w:t>xxxxx</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25FEFFD1" w14:textId="5360E172" w:rsidR="00250F2B" w:rsidRPr="007C4E86" w:rsidRDefault="007C4E86">
            <w:pPr>
              <w:spacing w:after="0" w:line="240" w:lineRule="auto"/>
              <w:jc w:val="center"/>
              <w:rPr>
                <w:rFonts w:ascii="Verdana" w:hAnsi="Verdana" w:cs="Arial"/>
                <w:highlight w:val="yellow"/>
                <w:lang w:val="es-CO"/>
              </w:rPr>
            </w:pPr>
            <w:proofErr w:type="spellStart"/>
            <w:r w:rsidRPr="007C4E86">
              <w:rPr>
                <w:rFonts w:ascii="Verdana" w:hAnsi="Verdana" w:cs="Arial"/>
                <w:highlight w:val="yellow"/>
                <w:lang w:val="es-CO"/>
              </w:rPr>
              <w:t>xxxxxx</w:t>
            </w:r>
            <w:proofErr w:type="spellEnd"/>
          </w:p>
        </w:tc>
        <w:tc>
          <w:tcPr>
            <w:tcW w:w="2268" w:type="dxa"/>
            <w:tcBorders>
              <w:top w:val="single" w:sz="4" w:space="0" w:color="auto"/>
              <w:left w:val="single" w:sz="4" w:space="0" w:color="auto"/>
              <w:bottom w:val="single" w:sz="4" w:space="0" w:color="auto"/>
              <w:right w:val="single" w:sz="4" w:space="0" w:color="auto"/>
            </w:tcBorders>
          </w:tcPr>
          <w:p w14:paraId="5D5C718D" w14:textId="2EF83968" w:rsidR="00250F2B" w:rsidRPr="007C4E86" w:rsidRDefault="007C4E86" w:rsidP="007C4E86">
            <w:pPr>
              <w:spacing w:after="0" w:line="240" w:lineRule="auto"/>
              <w:rPr>
                <w:rFonts w:ascii="Verdana" w:hAnsi="Verdana" w:cs="Arial"/>
                <w:highlight w:val="yellow"/>
                <w:lang w:val="es-CO"/>
              </w:rPr>
            </w:pPr>
            <w:r w:rsidRPr="007C4E86">
              <w:rPr>
                <w:rFonts w:ascii="Verdana" w:hAnsi="Verdana" w:cs="Arial"/>
                <w:highlight w:val="yellow"/>
                <w:lang w:val="es-CO"/>
              </w:rPr>
              <w:t xml:space="preserve">      </w:t>
            </w:r>
            <w:proofErr w:type="spellStart"/>
            <w:r w:rsidRPr="007C4E86">
              <w:rPr>
                <w:rFonts w:ascii="Verdana" w:hAnsi="Verdana" w:cs="Arial"/>
                <w:highlight w:val="yellow"/>
                <w:lang w:val="es-CO"/>
              </w:rPr>
              <w:t>xxxxxxx</w:t>
            </w:r>
            <w:proofErr w:type="spellEnd"/>
          </w:p>
        </w:tc>
      </w:tr>
    </w:tbl>
    <w:p w14:paraId="602F0284" w14:textId="77777777" w:rsidR="00250F2B" w:rsidRPr="00663BD6" w:rsidRDefault="00250F2B" w:rsidP="00250F2B">
      <w:pPr>
        <w:pStyle w:val="Sinespaciado"/>
        <w:jc w:val="center"/>
        <w:rPr>
          <w:rFonts w:ascii="Verdana" w:hAnsi="Verdana" w:cs="Arial"/>
          <w:b/>
          <w:bCs/>
        </w:rPr>
      </w:pPr>
    </w:p>
    <w:p w14:paraId="068058F3" w14:textId="77777777" w:rsidR="00250F2B" w:rsidRPr="00663BD6" w:rsidRDefault="00250F2B" w:rsidP="00250F2B">
      <w:pPr>
        <w:tabs>
          <w:tab w:val="left" w:pos="9072"/>
        </w:tabs>
        <w:spacing w:after="0" w:line="240" w:lineRule="auto"/>
        <w:jc w:val="both"/>
        <w:rPr>
          <w:rFonts w:ascii="Verdana" w:hAnsi="Verdana" w:cs="Arial"/>
          <w:color w:val="000000"/>
        </w:rPr>
      </w:pPr>
      <w:r w:rsidRPr="00663BD6">
        <w:rPr>
          <w:rFonts w:ascii="Verdana" w:hAnsi="Verdana" w:cs="Arial"/>
        </w:rPr>
        <w:t xml:space="preserve">El artículo 11 de la Ley 678 de 2001, fue modificado </w:t>
      </w:r>
      <w:r w:rsidRPr="00663BD6">
        <w:rPr>
          <w:rFonts w:ascii="Verdana" w:hAnsi="Verdana" w:cs="Arial"/>
          <w:color w:val="000000"/>
        </w:rPr>
        <w:t>por el artículo </w:t>
      </w:r>
      <w:hyperlink r:id="rId7" w:anchor="42" w:history="1">
        <w:r w:rsidRPr="00663BD6">
          <w:rPr>
            <w:rStyle w:val="Hipervnculo"/>
            <w:rFonts w:ascii="Verdana" w:hAnsi="Verdana" w:cs="Arial"/>
            <w:color w:val="000000"/>
          </w:rPr>
          <w:t>42</w:t>
        </w:r>
      </w:hyperlink>
      <w:r w:rsidRPr="00663BD6">
        <w:rPr>
          <w:rFonts w:ascii="Verdana" w:hAnsi="Verdana" w:cs="Arial"/>
          <w:color w:val="000000"/>
        </w:rPr>
        <w:t xml:space="preserve"> de la Ley 2195 de 2022 en los siguientes términos: </w:t>
      </w:r>
    </w:p>
    <w:p w14:paraId="04E11156" w14:textId="77777777" w:rsidR="00250F2B" w:rsidRPr="00663BD6" w:rsidRDefault="00250F2B" w:rsidP="00250F2B">
      <w:pPr>
        <w:tabs>
          <w:tab w:val="left" w:pos="9072"/>
        </w:tabs>
        <w:spacing w:after="0" w:line="240" w:lineRule="auto"/>
        <w:jc w:val="both"/>
        <w:rPr>
          <w:rFonts w:ascii="Verdana" w:hAnsi="Verdana" w:cs="Arial"/>
          <w:color w:val="000000"/>
        </w:rPr>
      </w:pPr>
    </w:p>
    <w:p w14:paraId="4962C66A" w14:textId="77777777" w:rsidR="00250F2B" w:rsidRPr="00663BD6" w:rsidRDefault="00250F2B" w:rsidP="00250F2B">
      <w:pPr>
        <w:tabs>
          <w:tab w:val="left" w:pos="9072"/>
        </w:tabs>
        <w:spacing w:after="0" w:line="240" w:lineRule="auto"/>
        <w:ind w:left="604"/>
        <w:jc w:val="both"/>
        <w:rPr>
          <w:rFonts w:ascii="Verdana" w:hAnsi="Verdana" w:cs="Arial"/>
          <w:i/>
          <w:iCs/>
          <w:color w:val="000000"/>
          <w:lang w:val="es-CO" w:eastAsia="es-CO"/>
        </w:rPr>
      </w:pPr>
      <w:r w:rsidRPr="00663BD6">
        <w:rPr>
          <w:rFonts w:ascii="Verdana" w:hAnsi="Verdana" w:cs="Arial"/>
          <w:i/>
          <w:iCs/>
          <w:color w:val="000000"/>
        </w:rPr>
        <w:t>“[…] La acción de repetición caducará al vencimiento del plazo de cinco (5) años contados a partir del día siguiente de la fecha del pago, o, a más tardar desde el vencimiento del plazo con que cuenta la administración para el pago de condenas de conformidad con lo previsto en el artículo </w:t>
      </w:r>
      <w:hyperlink r:id="rId8" w:anchor="192" w:history="1">
        <w:r w:rsidRPr="00663BD6">
          <w:rPr>
            <w:rStyle w:val="Hipervnculo"/>
            <w:rFonts w:ascii="Verdana" w:hAnsi="Verdana" w:cs="Arial"/>
            <w:i/>
            <w:iCs/>
            <w:color w:val="000000"/>
          </w:rPr>
          <w:t>192</w:t>
        </w:r>
      </w:hyperlink>
      <w:r w:rsidRPr="00663BD6">
        <w:rPr>
          <w:rFonts w:ascii="Verdana" w:hAnsi="Verdana" w:cs="Arial"/>
          <w:i/>
          <w:iCs/>
          <w:color w:val="000000"/>
        </w:rPr>
        <w:t> del Código de Procedimiento Administrativo y de lo Contencioso Administrativo.</w:t>
      </w:r>
    </w:p>
    <w:p w14:paraId="6D62B6DB" w14:textId="77777777" w:rsidR="00250F2B" w:rsidRPr="00663BD6" w:rsidRDefault="00250F2B" w:rsidP="00250F2B">
      <w:pPr>
        <w:spacing w:before="100" w:beforeAutospacing="1" w:after="100" w:afterAutospacing="1" w:line="240" w:lineRule="auto"/>
        <w:ind w:left="604"/>
        <w:jc w:val="both"/>
        <w:rPr>
          <w:rFonts w:ascii="Verdana" w:eastAsia="Times New Roman" w:hAnsi="Verdana" w:cs="Arial"/>
          <w:i/>
          <w:iCs/>
          <w:color w:val="000000"/>
          <w:lang w:eastAsia="es-ES"/>
        </w:rPr>
      </w:pPr>
      <w:r w:rsidRPr="00663BD6">
        <w:rPr>
          <w:rFonts w:ascii="Verdana" w:eastAsia="Times New Roman" w:hAnsi="Verdana" w:cs="Arial"/>
          <w:i/>
          <w:iCs/>
          <w:color w:val="000000"/>
          <w:lang w:eastAsia="es-ES"/>
        </w:rPr>
        <w:t xml:space="preserve">El término de caducidad dispuesto en el presente artículo aplicará a las condenas, conciliación o cualquier otra forma de solución de un conflicto permitida por la ley que quede ejecutoriada con posterioridad a la </w:t>
      </w:r>
      <w:proofErr w:type="gramStart"/>
      <w:r w:rsidRPr="00663BD6">
        <w:rPr>
          <w:rFonts w:ascii="Verdana" w:eastAsia="Times New Roman" w:hAnsi="Verdana" w:cs="Arial"/>
          <w:i/>
          <w:iCs/>
          <w:color w:val="000000"/>
          <w:lang w:eastAsia="es-ES"/>
        </w:rPr>
        <w:t>entrada en vigencia</w:t>
      </w:r>
      <w:proofErr w:type="gramEnd"/>
      <w:r w:rsidRPr="00663BD6">
        <w:rPr>
          <w:rFonts w:ascii="Verdana" w:eastAsia="Times New Roman" w:hAnsi="Verdana" w:cs="Arial"/>
          <w:i/>
          <w:iCs/>
          <w:color w:val="000000"/>
          <w:lang w:eastAsia="es-ES"/>
        </w:rPr>
        <w:t xml:space="preserve"> de la presente ley”. </w:t>
      </w:r>
    </w:p>
    <w:p w14:paraId="7F0DF467" w14:textId="77777777" w:rsidR="00250F2B" w:rsidRPr="00663BD6" w:rsidRDefault="00250F2B" w:rsidP="00250F2B">
      <w:pPr>
        <w:spacing w:after="0" w:line="240" w:lineRule="auto"/>
        <w:jc w:val="both"/>
        <w:rPr>
          <w:rFonts w:ascii="Verdana" w:hAnsi="Verdana" w:cs="Arial"/>
          <w:lang w:val="es-CO"/>
        </w:rPr>
      </w:pPr>
      <w:r w:rsidRPr="00663BD6">
        <w:rPr>
          <w:rFonts w:ascii="Verdana" w:hAnsi="Verdana" w:cs="Arial"/>
          <w:lang w:val="es-CO"/>
        </w:rPr>
        <w:t xml:space="preserve">Atendiendo a que el pago se realizó dentro de los 10 meses previstos, el término de caducidad sería </w:t>
      </w:r>
      <w:r w:rsidRPr="007C4E86">
        <w:rPr>
          <w:rFonts w:ascii="Verdana" w:hAnsi="Verdana" w:cs="Arial"/>
          <w:highlight w:val="yellow"/>
          <w:lang w:val="es-CO"/>
        </w:rPr>
        <w:t>hasta el XXXXX de XXX de XXXX.</w:t>
      </w:r>
    </w:p>
    <w:p w14:paraId="55661591" w14:textId="77777777" w:rsidR="00250F2B" w:rsidRPr="00663BD6" w:rsidRDefault="00250F2B" w:rsidP="00250F2B">
      <w:pPr>
        <w:spacing w:after="0" w:line="240" w:lineRule="auto"/>
        <w:jc w:val="both"/>
        <w:rPr>
          <w:rFonts w:ascii="Verdana" w:hAnsi="Verdana" w:cs="Arial"/>
          <w:lang w:val="es-CO"/>
        </w:rPr>
      </w:pPr>
    </w:p>
    <w:p w14:paraId="48564925" w14:textId="77777777" w:rsidR="00250F2B" w:rsidRPr="00663BD6" w:rsidRDefault="00250F2B" w:rsidP="00250F2B">
      <w:pPr>
        <w:spacing w:after="0" w:line="240" w:lineRule="auto"/>
        <w:ind w:left="720"/>
        <w:jc w:val="center"/>
        <w:rPr>
          <w:rFonts w:ascii="Verdana" w:hAnsi="Verdana" w:cs="Arial"/>
          <w:b/>
        </w:rPr>
      </w:pPr>
    </w:p>
    <w:p w14:paraId="17293527" w14:textId="77777777" w:rsidR="00250F2B" w:rsidRPr="00663BD6" w:rsidRDefault="00250F2B" w:rsidP="00250F2B">
      <w:pPr>
        <w:spacing w:after="0" w:line="240" w:lineRule="auto"/>
        <w:ind w:left="720"/>
        <w:jc w:val="center"/>
        <w:rPr>
          <w:rFonts w:ascii="Verdana" w:hAnsi="Verdana" w:cs="Arial"/>
          <w:b/>
        </w:rPr>
      </w:pPr>
      <w:r w:rsidRPr="00663BD6">
        <w:rPr>
          <w:rFonts w:ascii="Verdana" w:hAnsi="Verdana" w:cs="Arial"/>
          <w:b/>
        </w:rPr>
        <w:t>RESUMEN DE LOS HECHOS</w:t>
      </w:r>
    </w:p>
    <w:p w14:paraId="22E8D9E8" w14:textId="77777777" w:rsidR="00250F2B" w:rsidRPr="00663BD6" w:rsidRDefault="00250F2B" w:rsidP="00250F2B">
      <w:pPr>
        <w:spacing w:after="0" w:line="240" w:lineRule="auto"/>
        <w:rPr>
          <w:rFonts w:ascii="Verdana" w:hAnsi="Verdana" w:cs="Arial"/>
        </w:rPr>
      </w:pPr>
    </w:p>
    <w:p w14:paraId="59FC70B9" w14:textId="77777777" w:rsidR="00250F2B" w:rsidRPr="00663BD6" w:rsidRDefault="00250F2B" w:rsidP="00250F2B">
      <w:pPr>
        <w:spacing w:after="0" w:line="240" w:lineRule="auto"/>
        <w:jc w:val="both"/>
        <w:rPr>
          <w:rFonts w:ascii="Verdana" w:hAnsi="Verdana" w:cs="Arial"/>
        </w:rPr>
      </w:pPr>
    </w:p>
    <w:p w14:paraId="447D4212" w14:textId="77777777" w:rsidR="00250F2B" w:rsidRPr="00663BD6" w:rsidRDefault="00250F2B" w:rsidP="00250F2B">
      <w:pPr>
        <w:spacing w:after="0" w:line="240" w:lineRule="auto"/>
        <w:ind w:left="720"/>
        <w:jc w:val="center"/>
        <w:rPr>
          <w:rFonts w:ascii="Verdana" w:hAnsi="Verdana" w:cs="Arial"/>
          <w:b/>
          <w:bCs/>
        </w:rPr>
      </w:pPr>
      <w:r w:rsidRPr="00663BD6">
        <w:rPr>
          <w:rFonts w:ascii="Verdana" w:hAnsi="Verdana" w:cs="Arial"/>
          <w:b/>
          <w:bCs/>
        </w:rPr>
        <w:t>PROCEDENCIA DE LA ACCIÓN DE REPETICIÓN</w:t>
      </w:r>
    </w:p>
    <w:p w14:paraId="145C96B7" w14:textId="77777777" w:rsidR="00250F2B" w:rsidRPr="00663BD6" w:rsidRDefault="00250F2B" w:rsidP="00250F2B">
      <w:pPr>
        <w:spacing w:after="0" w:line="240" w:lineRule="auto"/>
        <w:ind w:left="720"/>
        <w:rPr>
          <w:rFonts w:ascii="Verdana" w:hAnsi="Verdana" w:cs="Arial"/>
          <w:b/>
          <w:bCs/>
        </w:rPr>
      </w:pPr>
    </w:p>
    <w:p w14:paraId="180F9BF4" w14:textId="77777777" w:rsidR="00250F2B" w:rsidRPr="00663BD6" w:rsidRDefault="00250F2B" w:rsidP="00195BDC">
      <w:pPr>
        <w:pStyle w:val="Sinespaciado"/>
        <w:jc w:val="both"/>
        <w:rPr>
          <w:rFonts w:ascii="Verdana" w:hAnsi="Verdana" w:cs="Arial"/>
        </w:rPr>
      </w:pPr>
    </w:p>
    <w:p w14:paraId="0AB958A1" w14:textId="77777777" w:rsidR="00250F2B" w:rsidRPr="00663BD6" w:rsidRDefault="00250F2B" w:rsidP="00250F2B">
      <w:pPr>
        <w:spacing w:line="240" w:lineRule="auto"/>
        <w:jc w:val="both"/>
        <w:rPr>
          <w:rFonts w:ascii="Verdana" w:hAnsi="Verdana" w:cs="Arial"/>
          <w:b/>
          <w:bCs/>
        </w:rPr>
      </w:pPr>
      <w:r w:rsidRPr="00663BD6">
        <w:rPr>
          <w:rFonts w:ascii="Verdana" w:hAnsi="Verdana" w:cs="Arial"/>
          <w:b/>
          <w:bCs/>
        </w:rPr>
        <w:t xml:space="preserve">Elementos de la Acción de Repetición. </w:t>
      </w:r>
    </w:p>
    <w:p w14:paraId="0389DF99" w14:textId="77777777" w:rsidR="00250F2B" w:rsidRPr="00663BD6" w:rsidRDefault="00250F2B" w:rsidP="00250F2B">
      <w:pPr>
        <w:spacing w:line="240" w:lineRule="auto"/>
        <w:jc w:val="both"/>
        <w:rPr>
          <w:rFonts w:ascii="Verdana" w:hAnsi="Verdana" w:cs="Arial"/>
        </w:rPr>
      </w:pPr>
      <w:r w:rsidRPr="00663BD6">
        <w:rPr>
          <w:rFonts w:ascii="Verdana" w:hAnsi="Verdana" w:cs="Arial"/>
        </w:rPr>
        <w:t>De conformidad con lo preceptuado en la Ley 678 de 2001, el artículo 142 del Código de Procedimiento Administrativo y de lo Contencioso Administrativo (CPACA) y la jurisprudencia del Consejo de Estado ha establecido los elementos de la acción de repetición, a saber:</w:t>
      </w:r>
    </w:p>
    <w:p w14:paraId="5B53B285" w14:textId="77777777" w:rsidR="00250F2B" w:rsidRPr="00663BD6" w:rsidRDefault="00250F2B" w:rsidP="00250F2B">
      <w:pPr>
        <w:spacing w:line="240" w:lineRule="auto"/>
        <w:jc w:val="both"/>
        <w:rPr>
          <w:rFonts w:ascii="Verdana" w:hAnsi="Verdana" w:cs="Arial"/>
        </w:rPr>
      </w:pPr>
      <w:r w:rsidRPr="00663BD6">
        <w:rPr>
          <w:rFonts w:ascii="Verdana" w:hAnsi="Verdana" w:cs="Arial"/>
        </w:rPr>
        <w:t>“- La calidad de agente del Estado y la conducta desplegada como tal, determinante del daño causado a un tercero, la cual hubiere generado una condena o la obligación de pagar una suma de dinero derivada de un acuerdo conciliatorio, transacción o cualquier otra forma de terminación de un conflicto;</w:t>
      </w:r>
    </w:p>
    <w:p w14:paraId="34F46C2A" w14:textId="77777777" w:rsidR="00250F2B" w:rsidRPr="00663BD6" w:rsidRDefault="00250F2B" w:rsidP="00250F2B">
      <w:pPr>
        <w:spacing w:line="240" w:lineRule="auto"/>
        <w:jc w:val="both"/>
        <w:rPr>
          <w:rFonts w:ascii="Verdana" w:hAnsi="Verdana" w:cs="Arial"/>
        </w:rPr>
      </w:pPr>
      <w:r w:rsidRPr="00663BD6">
        <w:rPr>
          <w:rFonts w:ascii="Verdana" w:hAnsi="Verdana" w:cs="Arial"/>
        </w:rPr>
        <w:t>- La existencia de una condena judicial a cargo de la entidad pública o la obligación de pagar una suma de dinero derivada de una conciliación, transacción o de cualquier otra forma de terminación de un conflicto;</w:t>
      </w:r>
    </w:p>
    <w:p w14:paraId="1FE6448D" w14:textId="77777777" w:rsidR="00250F2B" w:rsidRPr="00663BD6" w:rsidRDefault="00250F2B" w:rsidP="00250F2B">
      <w:pPr>
        <w:spacing w:line="240" w:lineRule="auto"/>
        <w:jc w:val="both"/>
        <w:rPr>
          <w:rFonts w:ascii="Verdana" w:hAnsi="Verdana" w:cs="Arial"/>
        </w:rPr>
      </w:pPr>
      <w:r w:rsidRPr="00663BD6">
        <w:rPr>
          <w:rFonts w:ascii="Verdana" w:hAnsi="Verdana" w:cs="Arial"/>
        </w:rPr>
        <w:t>- El pago realizado por parte de la Administración; y</w:t>
      </w:r>
    </w:p>
    <w:p w14:paraId="5FE09F07" w14:textId="77777777" w:rsidR="00250F2B" w:rsidRPr="00663BD6" w:rsidRDefault="00250F2B" w:rsidP="00250F2B">
      <w:pPr>
        <w:spacing w:line="240" w:lineRule="auto"/>
        <w:jc w:val="both"/>
        <w:rPr>
          <w:rFonts w:ascii="Verdana" w:hAnsi="Verdana" w:cs="Arial"/>
        </w:rPr>
      </w:pPr>
      <w:r w:rsidRPr="00663BD6">
        <w:rPr>
          <w:rFonts w:ascii="Verdana" w:hAnsi="Verdana" w:cs="Arial"/>
        </w:rPr>
        <w:t xml:space="preserve">- La calificación de la conducta del agente, como dolosa o gravemente culposa.” </w:t>
      </w:r>
    </w:p>
    <w:p w14:paraId="4741A629" w14:textId="77777777" w:rsidR="00250F2B" w:rsidRPr="00663BD6" w:rsidRDefault="00250F2B" w:rsidP="00250F2B">
      <w:pPr>
        <w:spacing w:line="240" w:lineRule="auto"/>
        <w:jc w:val="both"/>
        <w:rPr>
          <w:rFonts w:ascii="Verdana" w:hAnsi="Verdana" w:cs="Arial"/>
        </w:rPr>
      </w:pPr>
      <w:r w:rsidRPr="00663BD6">
        <w:rPr>
          <w:rFonts w:ascii="Verdana" w:hAnsi="Verdana" w:cs="Arial"/>
        </w:rPr>
        <w:lastRenderedPageBreak/>
        <w:t>Los primeros tres (3) requisitos son de carácter objetivo, mientras que el restante es de carácter subjetivo.</w:t>
      </w:r>
    </w:p>
    <w:p w14:paraId="3C904BD6" w14:textId="77777777" w:rsidR="00250F2B" w:rsidRPr="00663BD6" w:rsidRDefault="00250F2B" w:rsidP="00250F2B">
      <w:pPr>
        <w:spacing w:line="240" w:lineRule="auto"/>
        <w:jc w:val="both"/>
        <w:rPr>
          <w:rFonts w:ascii="Verdana" w:hAnsi="Verdana" w:cs="Arial"/>
          <w:b/>
          <w:bCs/>
        </w:rPr>
      </w:pPr>
      <w:r w:rsidRPr="00663BD6">
        <w:rPr>
          <w:rFonts w:ascii="Verdana" w:hAnsi="Verdana" w:cs="Arial"/>
          <w:b/>
          <w:bCs/>
        </w:rPr>
        <w:t>El dolo y la culpa grave</w:t>
      </w:r>
    </w:p>
    <w:p w14:paraId="06BA1B86" w14:textId="77777777" w:rsidR="00250F2B" w:rsidRPr="00663BD6" w:rsidRDefault="00250F2B" w:rsidP="00250F2B">
      <w:pPr>
        <w:spacing w:line="240" w:lineRule="auto"/>
        <w:jc w:val="both"/>
        <w:rPr>
          <w:rFonts w:ascii="Verdana" w:hAnsi="Verdana" w:cs="Arial"/>
        </w:rPr>
      </w:pPr>
      <w:r w:rsidRPr="00663BD6">
        <w:rPr>
          <w:rFonts w:ascii="Verdana" w:hAnsi="Verdana" w:cs="Arial"/>
        </w:rPr>
        <w:t>En concordancia con lo estipulado en el artículo 90 de la Constitución Política, el artículo 142 del Código CPACA establece, como uno de los elementos esenciales de la responsabilidad patrimonial del servidor público, exservidor o particular en ejercicio de funciones públicas (agente estatal), que la condena o el reconocimiento indemnizatorio haya sido como consecuencia de su conducta dolosa o gravemente culposa. En ese sentido, corresponde, a la Administración y al Juez, valorar la conducta del agente estatal, siempre y cuando ésta haya sido la causa de la condena o del pago de la indemnización.</w:t>
      </w:r>
    </w:p>
    <w:p w14:paraId="2CBEA1CC" w14:textId="77777777" w:rsidR="00250F2B" w:rsidRPr="00663BD6" w:rsidRDefault="00250F2B" w:rsidP="00250F2B">
      <w:pPr>
        <w:spacing w:line="240" w:lineRule="auto"/>
        <w:jc w:val="both"/>
        <w:rPr>
          <w:rFonts w:ascii="Verdana" w:hAnsi="Verdana" w:cs="Arial"/>
        </w:rPr>
      </w:pPr>
      <w:r w:rsidRPr="00663BD6">
        <w:rPr>
          <w:rFonts w:ascii="Verdana" w:hAnsi="Verdana" w:cs="Arial"/>
        </w:rPr>
        <w:t xml:space="preserve">Antes de la expedición de la Ley 678 de 2001, ante la ausencia legal especifica de los conceptos de dolo y culpa grave, la conducta del agente estatal era valorada a la luz de lo preceptuado en el artículo 63 del Código Civil. </w:t>
      </w:r>
    </w:p>
    <w:p w14:paraId="2851D8D7" w14:textId="77777777" w:rsidR="00250F2B" w:rsidRPr="00663BD6" w:rsidRDefault="00250F2B" w:rsidP="00250F2B">
      <w:pPr>
        <w:spacing w:line="240" w:lineRule="auto"/>
        <w:jc w:val="both"/>
        <w:rPr>
          <w:rFonts w:ascii="Verdana" w:hAnsi="Verdana" w:cs="Arial"/>
        </w:rPr>
      </w:pPr>
      <w:r w:rsidRPr="00663BD6">
        <w:rPr>
          <w:rFonts w:ascii="Verdana" w:hAnsi="Verdana" w:cs="Arial"/>
        </w:rPr>
        <w:t>El legislador, consciente del vacío normativo, consagró en la ley en mención, la definición o concepto del dolo y culpa grave. De igual manera, en aras de facilitar la tarea del Juez y de la Administración, preceptúo diferentes hipótesis en las cuales se presumía el dolo o culpa grave del agente estatal.</w:t>
      </w:r>
    </w:p>
    <w:p w14:paraId="66F87FC1" w14:textId="77777777" w:rsidR="00250F2B" w:rsidRPr="00663BD6" w:rsidRDefault="00250F2B" w:rsidP="00250F2B">
      <w:pPr>
        <w:spacing w:line="240" w:lineRule="auto"/>
        <w:jc w:val="both"/>
        <w:rPr>
          <w:rFonts w:ascii="Verdana" w:hAnsi="Verdana" w:cs="Arial"/>
        </w:rPr>
      </w:pPr>
      <w:r w:rsidRPr="00663BD6">
        <w:rPr>
          <w:rFonts w:ascii="Verdana" w:hAnsi="Verdana" w:cs="Arial"/>
        </w:rPr>
        <w:t>Recientemente la Ley 2195 de 2022 en su artículo 39 modificó el artículo 5o de la Ley 678 de 2001, el cual quedará así:</w:t>
      </w:r>
    </w:p>
    <w:p w14:paraId="6649EC2C" w14:textId="77777777" w:rsidR="00250F2B" w:rsidRPr="00663BD6" w:rsidRDefault="00250F2B" w:rsidP="00250F2B">
      <w:pPr>
        <w:spacing w:line="240" w:lineRule="auto"/>
        <w:ind w:left="708"/>
        <w:jc w:val="both"/>
        <w:rPr>
          <w:rFonts w:ascii="Verdana" w:hAnsi="Verdana" w:cs="Arial"/>
          <w:i/>
          <w:iCs/>
        </w:rPr>
      </w:pPr>
      <w:r w:rsidRPr="00663BD6">
        <w:rPr>
          <w:rFonts w:ascii="Verdana" w:hAnsi="Verdana" w:cs="Arial"/>
          <w:i/>
          <w:iCs/>
        </w:rPr>
        <w:t>Artículo 5o. Dolo. La conducta es dolosa cuando el agente del Estado quiere la realización de un hecho ajeno a las finalidades del servicio del Estado.</w:t>
      </w:r>
    </w:p>
    <w:p w14:paraId="3CF644C1" w14:textId="77777777" w:rsidR="00250F2B" w:rsidRPr="00663BD6" w:rsidRDefault="00250F2B" w:rsidP="00250F2B">
      <w:pPr>
        <w:spacing w:line="240" w:lineRule="auto"/>
        <w:ind w:left="708"/>
        <w:jc w:val="both"/>
        <w:rPr>
          <w:rFonts w:ascii="Verdana" w:hAnsi="Verdana" w:cs="Arial"/>
          <w:i/>
          <w:iCs/>
        </w:rPr>
      </w:pPr>
      <w:r w:rsidRPr="00663BD6">
        <w:rPr>
          <w:rFonts w:ascii="Verdana" w:hAnsi="Verdana" w:cs="Arial"/>
          <w:i/>
          <w:iCs/>
        </w:rPr>
        <w:t>Se presume que existe dolo del agente público por las siguientes causas:</w:t>
      </w:r>
    </w:p>
    <w:p w14:paraId="4EB861C0" w14:textId="77777777" w:rsidR="00250F2B" w:rsidRPr="00663BD6" w:rsidRDefault="00250F2B" w:rsidP="00250F2B">
      <w:pPr>
        <w:spacing w:line="240" w:lineRule="auto"/>
        <w:ind w:left="708"/>
        <w:jc w:val="both"/>
        <w:rPr>
          <w:rFonts w:ascii="Verdana" w:hAnsi="Verdana" w:cs="Arial"/>
          <w:i/>
          <w:iCs/>
        </w:rPr>
      </w:pPr>
      <w:r w:rsidRPr="00663BD6">
        <w:rPr>
          <w:rFonts w:ascii="Verdana" w:hAnsi="Verdana" w:cs="Arial"/>
          <w:i/>
          <w:iCs/>
        </w:rPr>
        <w:t>1. Que el acto administrativo haya sido declarado nulo por desviación de poder, indebida motivación, o falta de motivación, y por falsa motivación.</w:t>
      </w:r>
    </w:p>
    <w:p w14:paraId="128AE116" w14:textId="77777777" w:rsidR="00250F2B" w:rsidRPr="00663BD6" w:rsidRDefault="00250F2B" w:rsidP="00250F2B">
      <w:pPr>
        <w:spacing w:line="240" w:lineRule="auto"/>
        <w:ind w:left="708"/>
        <w:jc w:val="both"/>
        <w:rPr>
          <w:rFonts w:ascii="Verdana" w:hAnsi="Verdana" w:cs="Arial"/>
          <w:i/>
          <w:iCs/>
        </w:rPr>
      </w:pPr>
      <w:r w:rsidRPr="00663BD6">
        <w:rPr>
          <w:rFonts w:ascii="Verdana" w:hAnsi="Verdana" w:cs="Arial"/>
          <w:i/>
          <w:iCs/>
        </w:rPr>
        <w:t>2. Haber sido penal o disciplinariamente responsable a título de dolo por los mismos daños que sirvieron de fundamento para la responsabilidad patrimonial del Estado.</w:t>
      </w:r>
    </w:p>
    <w:p w14:paraId="74E9D6C4" w14:textId="77777777" w:rsidR="00250F2B" w:rsidRPr="00663BD6" w:rsidRDefault="00250F2B" w:rsidP="00250F2B">
      <w:pPr>
        <w:spacing w:line="240" w:lineRule="auto"/>
        <w:ind w:left="708"/>
        <w:jc w:val="both"/>
        <w:rPr>
          <w:rFonts w:ascii="Verdana" w:hAnsi="Verdana" w:cs="Arial"/>
          <w:i/>
          <w:iCs/>
        </w:rPr>
      </w:pPr>
      <w:r w:rsidRPr="00663BD6">
        <w:rPr>
          <w:rFonts w:ascii="Verdana" w:hAnsi="Verdana" w:cs="Arial"/>
          <w:i/>
          <w:iCs/>
        </w:rPr>
        <w:t>3. Haber expedido la resolución, el auto o sentencia contrario a derecho en un proceso judicial.</w:t>
      </w:r>
    </w:p>
    <w:p w14:paraId="49E10BDF" w14:textId="77777777" w:rsidR="00250F2B" w:rsidRPr="00663BD6" w:rsidRDefault="00250F2B" w:rsidP="00250F2B">
      <w:pPr>
        <w:spacing w:line="240" w:lineRule="auto"/>
        <w:ind w:left="708"/>
        <w:jc w:val="both"/>
        <w:rPr>
          <w:rFonts w:ascii="Verdana" w:hAnsi="Verdana" w:cs="Arial"/>
          <w:i/>
          <w:iCs/>
        </w:rPr>
      </w:pPr>
      <w:r w:rsidRPr="00663BD6">
        <w:rPr>
          <w:rFonts w:ascii="Verdana" w:hAnsi="Verdana" w:cs="Arial"/>
          <w:i/>
          <w:iCs/>
        </w:rPr>
        <w:t>4. Obrar con desviación de poder.</w:t>
      </w:r>
    </w:p>
    <w:p w14:paraId="59914ECA" w14:textId="77777777" w:rsidR="00250F2B" w:rsidRPr="00663BD6" w:rsidRDefault="00250F2B" w:rsidP="00250F2B">
      <w:pPr>
        <w:spacing w:line="240" w:lineRule="auto"/>
        <w:jc w:val="both"/>
        <w:rPr>
          <w:rFonts w:ascii="Verdana" w:hAnsi="Verdana" w:cs="Arial"/>
        </w:rPr>
      </w:pPr>
      <w:r w:rsidRPr="00663BD6">
        <w:rPr>
          <w:rFonts w:ascii="Verdana" w:hAnsi="Verdana" w:cs="Arial"/>
        </w:rPr>
        <w:t xml:space="preserve">Por su parte, el artículo 40 ibidem modificó el artículo 6o de la Ley 678 de 2001, en el cual el legislador definió la culpa grave en los siguientes términos: </w:t>
      </w:r>
    </w:p>
    <w:p w14:paraId="368880FD" w14:textId="77777777" w:rsidR="00250F2B" w:rsidRPr="00663BD6" w:rsidRDefault="00250F2B" w:rsidP="00250F2B">
      <w:pPr>
        <w:spacing w:line="240" w:lineRule="auto"/>
        <w:jc w:val="both"/>
        <w:rPr>
          <w:rFonts w:ascii="Verdana" w:hAnsi="Verdana" w:cs="Arial"/>
          <w:i/>
          <w:iCs/>
        </w:rPr>
      </w:pPr>
      <w:r w:rsidRPr="00663BD6">
        <w:rPr>
          <w:rFonts w:ascii="Verdana" w:hAnsi="Verdana" w:cs="Arial"/>
          <w:i/>
          <w:iCs/>
        </w:rPr>
        <w:t>“(…) Se presumirá que la conducta del agente del Estado es gravemente culposa cuando el daño es consecuencia de una infracción directa a la Constitución o a la ley o de una inexcusable omisión o extralimitación en el ejercicio de las funciones.”</w:t>
      </w:r>
    </w:p>
    <w:p w14:paraId="2DC92913" w14:textId="15092BD4" w:rsidR="00250F2B" w:rsidRPr="00663BD6" w:rsidRDefault="00250F2B" w:rsidP="00250F2B">
      <w:pPr>
        <w:spacing w:line="240" w:lineRule="auto"/>
        <w:jc w:val="both"/>
        <w:rPr>
          <w:rFonts w:ascii="Verdana" w:hAnsi="Verdana" w:cs="Arial"/>
          <w:b/>
          <w:bCs/>
        </w:rPr>
      </w:pPr>
      <w:r w:rsidRPr="007C4E86">
        <w:rPr>
          <w:rFonts w:ascii="Verdana" w:hAnsi="Verdana" w:cs="Arial"/>
          <w:b/>
          <w:bCs/>
          <w:highlight w:val="yellow"/>
        </w:rPr>
        <w:t>En el caso concreto</w:t>
      </w:r>
      <w:r w:rsidR="007C4E86" w:rsidRPr="007C4E86">
        <w:rPr>
          <w:rFonts w:ascii="Verdana" w:hAnsi="Verdana" w:cs="Arial"/>
          <w:b/>
          <w:bCs/>
          <w:highlight w:val="yellow"/>
        </w:rPr>
        <w:t xml:space="preserve"> en casos de contrato realidad</w:t>
      </w:r>
      <w:r w:rsidR="007C4E86">
        <w:rPr>
          <w:rFonts w:ascii="Verdana" w:hAnsi="Verdana" w:cs="Arial"/>
          <w:b/>
          <w:bCs/>
        </w:rPr>
        <w:t xml:space="preserve"> </w:t>
      </w:r>
    </w:p>
    <w:p w14:paraId="65CFB55A" w14:textId="77777777" w:rsidR="00250F2B" w:rsidRPr="00663BD6" w:rsidRDefault="00250F2B" w:rsidP="00250F2B">
      <w:pPr>
        <w:spacing w:after="0" w:line="240" w:lineRule="auto"/>
        <w:ind w:left="720"/>
        <w:jc w:val="center"/>
        <w:rPr>
          <w:rFonts w:ascii="Verdana" w:hAnsi="Verdana" w:cs="Arial"/>
          <w:b/>
        </w:rPr>
      </w:pPr>
      <w:r w:rsidRPr="00663BD6">
        <w:rPr>
          <w:rFonts w:ascii="Verdana" w:hAnsi="Verdana" w:cs="Arial"/>
          <w:b/>
        </w:rPr>
        <w:t xml:space="preserve">NECESIDAD DE LA CONTRATACIÓN </w:t>
      </w:r>
    </w:p>
    <w:p w14:paraId="6C6D3282" w14:textId="77777777" w:rsidR="00250F2B" w:rsidRPr="00663BD6" w:rsidRDefault="00250F2B" w:rsidP="00250F2B">
      <w:pPr>
        <w:spacing w:after="0" w:line="240" w:lineRule="auto"/>
        <w:jc w:val="both"/>
        <w:rPr>
          <w:rFonts w:ascii="Verdana" w:hAnsi="Verdana" w:cs="Arial"/>
        </w:rPr>
      </w:pPr>
    </w:p>
    <w:p w14:paraId="343785E3" w14:textId="77777777" w:rsidR="00250F2B" w:rsidRPr="00663BD6" w:rsidRDefault="00250F2B" w:rsidP="00250F2B">
      <w:pPr>
        <w:spacing w:after="0" w:line="240" w:lineRule="auto"/>
        <w:jc w:val="both"/>
        <w:rPr>
          <w:rFonts w:ascii="Verdana" w:hAnsi="Verdana" w:cs="Arial"/>
        </w:rPr>
      </w:pPr>
      <w:r w:rsidRPr="00663BD6">
        <w:rPr>
          <w:rFonts w:ascii="Verdana" w:hAnsi="Verdana" w:cs="Arial"/>
        </w:rPr>
        <w:t xml:space="preserve">El Instituto Colombiano de Bienestar Familiar (ICBF) es un establecimiento público descentralizado, con personería jurídica, autonomía administrativa y patrimonio propio adscrito al Departamento Administrativo para la Prosperidad Social; creado por la Ley 75 de 1968, reorganizado conforme a lo dispuesto por la Ley 7ª de 1979 y su Decreto Reglamentario 2388 de 1979 y el Decreto 4156 de 2011. </w:t>
      </w:r>
    </w:p>
    <w:p w14:paraId="5118153A" w14:textId="77777777" w:rsidR="00250F2B" w:rsidRPr="00663BD6" w:rsidRDefault="00250F2B" w:rsidP="00250F2B">
      <w:pPr>
        <w:spacing w:after="0" w:line="240" w:lineRule="auto"/>
        <w:jc w:val="both"/>
        <w:rPr>
          <w:rFonts w:ascii="Verdana" w:hAnsi="Verdana" w:cs="Arial"/>
        </w:rPr>
      </w:pPr>
    </w:p>
    <w:p w14:paraId="23F34204" w14:textId="77777777" w:rsidR="00250F2B" w:rsidRPr="00663BD6" w:rsidRDefault="00250F2B" w:rsidP="00250F2B">
      <w:pPr>
        <w:spacing w:after="0" w:line="240" w:lineRule="auto"/>
        <w:jc w:val="both"/>
        <w:rPr>
          <w:rFonts w:ascii="Verdana" w:hAnsi="Verdana" w:cs="Arial"/>
        </w:rPr>
      </w:pPr>
      <w:r w:rsidRPr="00663BD6">
        <w:rPr>
          <w:rFonts w:ascii="Verdana" w:hAnsi="Verdana" w:cs="Arial"/>
        </w:rPr>
        <w:lastRenderedPageBreak/>
        <w:t>La cual fue reestructurado por el Decreto 1137 de 1999 y su organización interna establecida mediante los Decretos vigentes Nos. 987 de 2012, 1927 de 2013 y 1479 de 2017.</w:t>
      </w:r>
    </w:p>
    <w:p w14:paraId="4638552A" w14:textId="77777777" w:rsidR="00250F2B" w:rsidRPr="00663BD6" w:rsidRDefault="00250F2B" w:rsidP="00250F2B">
      <w:pPr>
        <w:spacing w:after="0" w:line="240" w:lineRule="auto"/>
        <w:jc w:val="both"/>
        <w:rPr>
          <w:rFonts w:ascii="Verdana" w:hAnsi="Verdana" w:cs="Arial"/>
        </w:rPr>
      </w:pPr>
    </w:p>
    <w:p w14:paraId="7A28118F" w14:textId="77777777" w:rsidR="00250F2B" w:rsidRPr="00663BD6" w:rsidRDefault="00250F2B" w:rsidP="00250F2B">
      <w:pPr>
        <w:spacing w:after="0" w:line="240" w:lineRule="auto"/>
        <w:jc w:val="both"/>
        <w:rPr>
          <w:rFonts w:ascii="Verdana" w:hAnsi="Verdana" w:cs="Arial"/>
        </w:rPr>
      </w:pPr>
      <w:r w:rsidRPr="00663BD6">
        <w:rPr>
          <w:rFonts w:ascii="Verdana" w:hAnsi="Verdana" w:cs="Arial"/>
        </w:rPr>
        <w:t>El ICBF es la entidad del Estado colombiano que trabaja por la prevención y protección integral de la primera infancia, infancia y adolescencia, el fortalecimiento de los jóvenes y las familias en Colombia, brindando atención especialmente a aquellos en condiciones de amenaza, inobservancia o vulneración de sus derechos.</w:t>
      </w:r>
    </w:p>
    <w:p w14:paraId="6E368AF7" w14:textId="77777777" w:rsidR="00250F2B" w:rsidRPr="00663BD6" w:rsidRDefault="00250F2B" w:rsidP="00250F2B">
      <w:pPr>
        <w:spacing w:after="0" w:line="240" w:lineRule="auto"/>
        <w:jc w:val="both"/>
        <w:rPr>
          <w:rFonts w:ascii="Verdana" w:hAnsi="Verdana" w:cs="Arial"/>
        </w:rPr>
      </w:pPr>
    </w:p>
    <w:p w14:paraId="3D7E14DA" w14:textId="77777777" w:rsidR="00250F2B" w:rsidRPr="00663BD6" w:rsidRDefault="00250F2B" w:rsidP="00250F2B">
      <w:pPr>
        <w:spacing w:after="0" w:line="240" w:lineRule="auto"/>
        <w:jc w:val="both"/>
        <w:rPr>
          <w:rFonts w:ascii="Verdana" w:hAnsi="Verdana" w:cs="Arial"/>
        </w:rPr>
      </w:pPr>
      <w:r w:rsidRPr="00663BD6">
        <w:rPr>
          <w:rFonts w:ascii="Verdana" w:hAnsi="Verdana" w:cs="Arial"/>
        </w:rPr>
        <w:t>Actualmente el Instituto Colombiano de Bienestar Familiar cuenta con 47 dependencias en la Sede de la Dirección general, 33 Regionales y 215 Centros Zonales, distribuidos por todo el territorio nacional, a través de los cuales opera sus diferentes programas, atendiendo más de 3 millones de personas a través de todos sus servicios en los 1.103 Municipios del País.</w:t>
      </w:r>
    </w:p>
    <w:p w14:paraId="28F2B10F" w14:textId="77777777" w:rsidR="00250F2B" w:rsidRPr="00663BD6" w:rsidRDefault="00250F2B" w:rsidP="00250F2B">
      <w:pPr>
        <w:spacing w:after="0" w:line="240" w:lineRule="auto"/>
        <w:jc w:val="both"/>
        <w:rPr>
          <w:rFonts w:ascii="Verdana" w:hAnsi="Verdana" w:cs="Arial"/>
        </w:rPr>
      </w:pPr>
    </w:p>
    <w:p w14:paraId="017F5954" w14:textId="77777777" w:rsidR="00250F2B" w:rsidRPr="00663BD6" w:rsidRDefault="00250F2B" w:rsidP="00250F2B">
      <w:pPr>
        <w:spacing w:after="0" w:line="240" w:lineRule="auto"/>
        <w:jc w:val="both"/>
        <w:rPr>
          <w:rFonts w:ascii="Verdana" w:hAnsi="Verdana" w:cs="Arial"/>
        </w:rPr>
      </w:pPr>
      <w:r w:rsidRPr="00663BD6">
        <w:rPr>
          <w:rFonts w:ascii="Verdana" w:hAnsi="Verdana" w:cs="Arial"/>
        </w:rPr>
        <w:t>La planta cuenta con un total de 8856 cargos divididos así</w:t>
      </w:r>
    </w:p>
    <w:p w14:paraId="0D92ACEE" w14:textId="77777777" w:rsidR="00250F2B" w:rsidRPr="00663BD6" w:rsidRDefault="00250F2B" w:rsidP="00250F2B">
      <w:pPr>
        <w:spacing w:after="0" w:line="240" w:lineRule="auto"/>
        <w:jc w:val="both"/>
        <w:rPr>
          <w:rFonts w:ascii="Verdana" w:hAnsi="Verdana" w:cs="Arial"/>
        </w:rPr>
      </w:pPr>
    </w:p>
    <w:p w14:paraId="4F00EFE4" w14:textId="769E1CDB" w:rsidR="00250F2B" w:rsidRPr="00663BD6" w:rsidRDefault="00250F2B" w:rsidP="00250F2B">
      <w:pPr>
        <w:spacing w:after="0" w:line="240" w:lineRule="auto"/>
        <w:jc w:val="center"/>
        <w:rPr>
          <w:rFonts w:ascii="Verdana" w:hAnsi="Verdana" w:cs="Arial"/>
        </w:rPr>
      </w:pPr>
      <w:r w:rsidRPr="00663BD6">
        <w:rPr>
          <w:rFonts w:ascii="Verdana" w:hAnsi="Verdana" w:cs="Arial"/>
          <w:noProof/>
          <w:lang w:val="es-CO" w:eastAsia="es-CO"/>
        </w:rPr>
        <w:drawing>
          <wp:inline distT="0" distB="0" distL="0" distR="0" wp14:anchorId="19B02E86" wp14:editId="1D198208">
            <wp:extent cx="1905000" cy="1428750"/>
            <wp:effectExtent l="0" t="0" r="0"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abl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14:paraId="71FFE377" w14:textId="77777777" w:rsidR="00250F2B" w:rsidRPr="00663BD6" w:rsidRDefault="00250F2B" w:rsidP="00250F2B">
      <w:pPr>
        <w:spacing w:after="0" w:line="240" w:lineRule="auto"/>
        <w:jc w:val="both"/>
        <w:rPr>
          <w:rFonts w:ascii="Verdana" w:hAnsi="Verdana" w:cs="Arial"/>
        </w:rPr>
      </w:pPr>
    </w:p>
    <w:p w14:paraId="00C64877" w14:textId="77777777" w:rsidR="00250F2B" w:rsidRPr="00663BD6" w:rsidRDefault="00250F2B" w:rsidP="00250F2B">
      <w:pPr>
        <w:spacing w:after="0" w:line="240" w:lineRule="auto"/>
        <w:jc w:val="both"/>
        <w:rPr>
          <w:rFonts w:ascii="Verdana" w:hAnsi="Verdana" w:cs="Arial"/>
        </w:rPr>
      </w:pPr>
      <w:r w:rsidRPr="00663BD6">
        <w:rPr>
          <w:rFonts w:ascii="Verdana" w:hAnsi="Verdana" w:cs="Arial"/>
        </w:rPr>
        <w:t>En cuanto a los contratistas tenemos alrededor de 6000 contratos, con los cuales se logra cumplir las metas y objetivos del ICBF.</w:t>
      </w:r>
    </w:p>
    <w:p w14:paraId="51D6B700" w14:textId="77777777" w:rsidR="00250F2B" w:rsidRPr="00663BD6" w:rsidRDefault="00250F2B" w:rsidP="00250F2B">
      <w:pPr>
        <w:spacing w:after="0" w:line="240" w:lineRule="auto"/>
        <w:jc w:val="both"/>
        <w:rPr>
          <w:rFonts w:ascii="Verdana" w:hAnsi="Verdana" w:cs="Arial"/>
        </w:rPr>
      </w:pPr>
    </w:p>
    <w:p w14:paraId="35375691" w14:textId="77777777" w:rsidR="00250F2B" w:rsidRPr="00663BD6" w:rsidRDefault="00250F2B" w:rsidP="00250F2B">
      <w:pPr>
        <w:spacing w:after="0" w:line="240" w:lineRule="auto"/>
        <w:jc w:val="both"/>
        <w:rPr>
          <w:rFonts w:ascii="Verdana" w:hAnsi="Verdana" w:cs="Arial"/>
        </w:rPr>
      </w:pPr>
      <w:r w:rsidRPr="00663BD6">
        <w:rPr>
          <w:rFonts w:ascii="Verdana" w:hAnsi="Verdana" w:cs="Arial"/>
        </w:rPr>
        <w:t>El avance y crecimiento de los programas del ICBF durante todo este tiempo ha llevado que la estructura y los cargos de planta con los que contamos sea insuficiente para atender a la población colombiana, que todo esto ha conllevado a que la Entidad deba contratar mediante contratos de prestación de servicios con el fin de cumplir con la misionalidad y objetivos previstos.</w:t>
      </w:r>
    </w:p>
    <w:p w14:paraId="2700B645" w14:textId="77777777" w:rsidR="00250F2B" w:rsidRPr="00663BD6" w:rsidRDefault="00250F2B" w:rsidP="00250F2B">
      <w:pPr>
        <w:spacing w:after="0" w:line="240" w:lineRule="auto"/>
        <w:jc w:val="both"/>
        <w:rPr>
          <w:rFonts w:ascii="Verdana" w:hAnsi="Verdana" w:cs="Arial"/>
        </w:rPr>
      </w:pPr>
    </w:p>
    <w:p w14:paraId="615D3461" w14:textId="77777777" w:rsidR="00250F2B" w:rsidRPr="00663BD6" w:rsidRDefault="00250F2B" w:rsidP="00250F2B">
      <w:pPr>
        <w:spacing w:after="0" w:line="240" w:lineRule="auto"/>
        <w:jc w:val="both"/>
        <w:rPr>
          <w:rFonts w:ascii="Verdana" w:hAnsi="Verdana" w:cs="Arial"/>
        </w:rPr>
      </w:pPr>
      <w:r w:rsidRPr="00663BD6">
        <w:rPr>
          <w:rFonts w:ascii="Verdana" w:hAnsi="Verdana" w:cs="Arial"/>
        </w:rPr>
        <w:t>Por otra parte, el artículo 46 de la Ley 909 de 2004, dispone y señala los requisitos para la reforma y modificación de las plantas de las entidades de la rama ejecutiva así:</w:t>
      </w:r>
    </w:p>
    <w:p w14:paraId="4FAF59BC" w14:textId="77777777" w:rsidR="00250F2B" w:rsidRPr="00663BD6" w:rsidRDefault="00250F2B" w:rsidP="00250F2B">
      <w:pPr>
        <w:spacing w:after="0" w:line="240" w:lineRule="auto"/>
        <w:jc w:val="both"/>
        <w:rPr>
          <w:rFonts w:ascii="Verdana" w:hAnsi="Verdana" w:cs="Arial"/>
        </w:rPr>
      </w:pPr>
    </w:p>
    <w:p w14:paraId="15125BBD" w14:textId="77777777" w:rsidR="00250F2B" w:rsidRPr="00663BD6" w:rsidRDefault="00250F2B" w:rsidP="00250F2B">
      <w:pPr>
        <w:spacing w:after="0" w:line="240" w:lineRule="auto"/>
        <w:ind w:left="708"/>
        <w:jc w:val="both"/>
        <w:rPr>
          <w:rFonts w:ascii="Verdana" w:hAnsi="Verdana" w:cs="Arial"/>
          <w:i/>
          <w:iCs/>
        </w:rPr>
      </w:pPr>
      <w:r w:rsidRPr="00663BD6">
        <w:rPr>
          <w:rFonts w:ascii="Verdana" w:hAnsi="Verdana" w:cs="Arial"/>
          <w:i/>
          <w:iCs/>
        </w:rPr>
        <w:t>“(…) Las reformas de plantas de personal de empleos de las entidades de la Rama Ejecutiva de los órdenes nacional y territorial, deberán motivarse, fundarse en necesidades del servicio o en razones de modernización de la Administración y basarse en justificaciones o estudios técnicos que así lo demuestren, elaborados por las respectivas entidades bajo las directrices del Departamento Administrativo de la Función Pública y de la Escuela Superior de Administración Pública - ESAP-.</w:t>
      </w:r>
    </w:p>
    <w:p w14:paraId="7C561E59" w14:textId="77777777" w:rsidR="00250F2B" w:rsidRPr="00663BD6" w:rsidRDefault="00250F2B" w:rsidP="00250F2B">
      <w:pPr>
        <w:spacing w:after="0" w:line="240" w:lineRule="auto"/>
        <w:jc w:val="both"/>
        <w:rPr>
          <w:rFonts w:ascii="Verdana" w:hAnsi="Verdana" w:cs="Arial"/>
          <w:i/>
          <w:iCs/>
        </w:rPr>
      </w:pPr>
    </w:p>
    <w:p w14:paraId="0ED7417C" w14:textId="77777777" w:rsidR="00250F2B" w:rsidRPr="00663BD6" w:rsidRDefault="00250F2B" w:rsidP="00250F2B">
      <w:pPr>
        <w:spacing w:after="0" w:line="240" w:lineRule="auto"/>
        <w:ind w:left="708"/>
        <w:jc w:val="both"/>
        <w:rPr>
          <w:rFonts w:ascii="Verdana" w:hAnsi="Verdana" w:cs="Arial"/>
          <w:i/>
          <w:iCs/>
        </w:rPr>
      </w:pPr>
      <w:r w:rsidRPr="00663BD6">
        <w:rPr>
          <w:rFonts w:ascii="Verdana" w:hAnsi="Verdana" w:cs="Arial"/>
          <w:i/>
          <w:iCs/>
        </w:rPr>
        <w:t>El Departamento Administrativo de la Función Pública adoptará la metodología para la elaboración de los estudios o justificaciones técnicas, la cual deberá ceñirse a los aspectos estrictamente necesarios para soportar la reforma a las plantas de personal.</w:t>
      </w:r>
    </w:p>
    <w:p w14:paraId="72F7DCFA" w14:textId="77777777" w:rsidR="00250F2B" w:rsidRPr="00663BD6" w:rsidRDefault="00250F2B" w:rsidP="00250F2B">
      <w:pPr>
        <w:spacing w:after="0" w:line="240" w:lineRule="auto"/>
        <w:ind w:left="708"/>
        <w:jc w:val="both"/>
        <w:rPr>
          <w:rFonts w:ascii="Verdana" w:hAnsi="Verdana" w:cs="Arial"/>
          <w:i/>
          <w:iCs/>
        </w:rPr>
      </w:pPr>
    </w:p>
    <w:p w14:paraId="29E56619" w14:textId="77777777" w:rsidR="00250F2B" w:rsidRPr="00663BD6" w:rsidRDefault="00250F2B" w:rsidP="00250F2B">
      <w:pPr>
        <w:spacing w:after="0" w:line="240" w:lineRule="auto"/>
        <w:ind w:left="708"/>
        <w:jc w:val="both"/>
        <w:rPr>
          <w:rFonts w:ascii="Verdana" w:hAnsi="Verdana" w:cs="Arial"/>
          <w:i/>
          <w:iCs/>
        </w:rPr>
      </w:pPr>
      <w:r w:rsidRPr="00663BD6">
        <w:rPr>
          <w:rFonts w:ascii="Verdana" w:hAnsi="Verdana" w:cs="Arial"/>
          <w:i/>
          <w:iCs/>
        </w:rPr>
        <w:t xml:space="preserve">Toda modificación a las plantas de personal de los organismos y entidades de la Rama Ejecutiva del poder público del orden </w:t>
      </w:r>
      <w:proofErr w:type="gramStart"/>
      <w:r w:rsidRPr="00663BD6">
        <w:rPr>
          <w:rFonts w:ascii="Verdana" w:hAnsi="Verdana" w:cs="Arial"/>
          <w:i/>
          <w:iCs/>
        </w:rPr>
        <w:t>nacional,</w:t>
      </w:r>
      <w:proofErr w:type="gramEnd"/>
      <w:r w:rsidRPr="00663BD6">
        <w:rPr>
          <w:rFonts w:ascii="Verdana" w:hAnsi="Verdana" w:cs="Arial"/>
          <w:i/>
          <w:iCs/>
        </w:rPr>
        <w:t xml:space="preserve"> deberá ser aprobada por el Departamento Administrativo de la Función Pública. (…)” </w:t>
      </w:r>
    </w:p>
    <w:p w14:paraId="608A898C" w14:textId="77777777" w:rsidR="00250F2B" w:rsidRPr="00663BD6" w:rsidRDefault="00250F2B" w:rsidP="00250F2B">
      <w:pPr>
        <w:spacing w:after="0" w:line="240" w:lineRule="auto"/>
        <w:jc w:val="both"/>
        <w:rPr>
          <w:rFonts w:ascii="Verdana" w:hAnsi="Verdana" w:cs="Arial"/>
        </w:rPr>
      </w:pPr>
    </w:p>
    <w:p w14:paraId="3DCBB01A" w14:textId="77777777" w:rsidR="00250F2B" w:rsidRPr="00663BD6" w:rsidRDefault="00250F2B" w:rsidP="00250F2B">
      <w:pPr>
        <w:spacing w:after="0" w:line="240" w:lineRule="auto"/>
        <w:jc w:val="both"/>
        <w:rPr>
          <w:rFonts w:ascii="Verdana" w:hAnsi="Verdana" w:cs="Arial"/>
        </w:rPr>
      </w:pPr>
      <w:r w:rsidRPr="00663BD6">
        <w:rPr>
          <w:rFonts w:ascii="Verdana" w:hAnsi="Verdana" w:cs="Arial"/>
        </w:rPr>
        <w:lastRenderedPageBreak/>
        <w:t>La norma en mención fue reglamentada por el Decreto 1083 de 2015, artículo 2.2.12.1 y subsiguientes, normatividad que prevé que la modificación de la planta de personal de las entidades del orden nacional debe contar con el concepto favorable del Departamento Administrativo de la Función Pública.</w:t>
      </w:r>
    </w:p>
    <w:p w14:paraId="4A2FB308" w14:textId="77777777" w:rsidR="00250F2B" w:rsidRPr="00663BD6" w:rsidRDefault="00250F2B" w:rsidP="00250F2B">
      <w:pPr>
        <w:spacing w:after="0" w:line="240" w:lineRule="auto"/>
        <w:jc w:val="both"/>
        <w:rPr>
          <w:rFonts w:ascii="Verdana" w:hAnsi="Verdana" w:cs="Arial"/>
        </w:rPr>
      </w:pPr>
    </w:p>
    <w:p w14:paraId="22F40EBA" w14:textId="77777777" w:rsidR="00250F2B" w:rsidRPr="00663BD6" w:rsidRDefault="00250F2B" w:rsidP="00250F2B">
      <w:pPr>
        <w:spacing w:after="0" w:line="240" w:lineRule="auto"/>
        <w:jc w:val="both"/>
        <w:rPr>
          <w:rFonts w:ascii="Verdana" w:hAnsi="Verdana" w:cs="Arial"/>
        </w:rPr>
      </w:pPr>
      <w:r w:rsidRPr="00663BD6">
        <w:rPr>
          <w:rFonts w:ascii="Verdana" w:hAnsi="Verdana" w:cs="Arial"/>
        </w:rPr>
        <w:t>Adicionalmente debe considerarse que, la Presidencia de la República ha emitido varias directivas, a través de la cual, se establecieron lineamientos para racionalizar los gastos de funcionamiento del Estado, determinado lo siguiente:</w:t>
      </w:r>
    </w:p>
    <w:p w14:paraId="07E5C0BA" w14:textId="77777777" w:rsidR="00250F2B" w:rsidRPr="00663BD6" w:rsidRDefault="00250F2B" w:rsidP="00250F2B">
      <w:pPr>
        <w:spacing w:after="0" w:line="240" w:lineRule="auto"/>
        <w:jc w:val="both"/>
        <w:rPr>
          <w:rFonts w:ascii="Verdana" w:hAnsi="Verdana" w:cs="Arial"/>
        </w:rPr>
      </w:pPr>
    </w:p>
    <w:p w14:paraId="141F5A2B" w14:textId="77777777" w:rsidR="00250F2B" w:rsidRPr="00663BD6" w:rsidRDefault="00250F2B" w:rsidP="00250F2B">
      <w:pPr>
        <w:spacing w:after="0" w:line="240" w:lineRule="auto"/>
        <w:jc w:val="both"/>
        <w:rPr>
          <w:rFonts w:ascii="Verdana" w:hAnsi="Verdana" w:cs="Arial"/>
          <w:i/>
          <w:iCs/>
        </w:rPr>
      </w:pPr>
      <w:r w:rsidRPr="00663BD6">
        <w:rPr>
          <w:rFonts w:ascii="Verdana" w:hAnsi="Verdana" w:cs="Arial"/>
          <w:i/>
          <w:iCs/>
        </w:rPr>
        <w:t>“(…) 3. Instrucciones en materia de modificaciones de estructuras administrativas y plantas de personal</w:t>
      </w:r>
    </w:p>
    <w:p w14:paraId="11D2D8C0" w14:textId="77777777" w:rsidR="00250F2B" w:rsidRPr="00663BD6" w:rsidRDefault="00250F2B" w:rsidP="00250F2B">
      <w:pPr>
        <w:spacing w:after="0" w:line="240" w:lineRule="auto"/>
        <w:jc w:val="both"/>
        <w:rPr>
          <w:rFonts w:ascii="Verdana" w:hAnsi="Verdana" w:cs="Arial"/>
          <w:i/>
          <w:iCs/>
        </w:rPr>
      </w:pPr>
    </w:p>
    <w:p w14:paraId="60D1E8E8" w14:textId="77777777" w:rsidR="00250F2B" w:rsidRPr="00663BD6" w:rsidRDefault="00250F2B" w:rsidP="00250F2B">
      <w:pPr>
        <w:spacing w:after="0" w:line="240" w:lineRule="auto"/>
        <w:jc w:val="both"/>
        <w:rPr>
          <w:rFonts w:ascii="Verdana" w:hAnsi="Verdana" w:cs="Arial"/>
          <w:i/>
          <w:iCs/>
        </w:rPr>
      </w:pPr>
      <w:r w:rsidRPr="00663BD6">
        <w:rPr>
          <w:rFonts w:ascii="Verdana" w:hAnsi="Verdana" w:cs="Arial"/>
          <w:i/>
          <w:iCs/>
        </w:rPr>
        <w:t xml:space="preserve">a) Las cabezas del sector deben informar en diciembre a la Ministra Consejera para Gobierno y Sector Privado, con copia a la Directora de Función Pública, las entidades que puedan ser reestructuradas para el ahorro de gastos de funcionamiento. </w:t>
      </w:r>
    </w:p>
    <w:p w14:paraId="6FE0FE18" w14:textId="77777777" w:rsidR="00250F2B" w:rsidRPr="00663BD6" w:rsidRDefault="00250F2B" w:rsidP="00250F2B">
      <w:pPr>
        <w:spacing w:after="0" w:line="240" w:lineRule="auto"/>
        <w:jc w:val="both"/>
        <w:rPr>
          <w:rFonts w:ascii="Verdana" w:hAnsi="Verdana" w:cs="Arial"/>
          <w:i/>
          <w:iCs/>
        </w:rPr>
      </w:pPr>
    </w:p>
    <w:p w14:paraId="2580DB8D" w14:textId="77777777" w:rsidR="00250F2B" w:rsidRPr="00663BD6" w:rsidRDefault="00250F2B" w:rsidP="00250F2B">
      <w:pPr>
        <w:spacing w:after="0" w:line="240" w:lineRule="auto"/>
        <w:jc w:val="both"/>
        <w:rPr>
          <w:rFonts w:ascii="Verdana" w:hAnsi="Verdana" w:cs="Arial"/>
          <w:i/>
          <w:iCs/>
        </w:rPr>
      </w:pPr>
      <w:r w:rsidRPr="00663BD6">
        <w:rPr>
          <w:rFonts w:ascii="Verdana" w:hAnsi="Verdana" w:cs="Arial"/>
          <w:i/>
          <w:iCs/>
        </w:rPr>
        <w:t>b) Las propuestas de reestructuración y modificación de las plantas de personal de las entidades de la Rama Ejecutiva del Orden Nacional, que estudiará de forma prioritaria el Gobierno Nacional, deberán cumplir la siguiente regla (i) Costo cero: es decir, no generar gastos de funcionamiento adicionales, incluyendo la totalidad de los costos directos e indirectos asociados a la nómina, la carga prestacional (costos pensionales) y el impacto en los gastos generales; o (ii) Generación de ahorros en el funcionamiento de la entidad.</w:t>
      </w:r>
    </w:p>
    <w:p w14:paraId="5B737B60" w14:textId="77777777" w:rsidR="00250F2B" w:rsidRPr="00663BD6" w:rsidRDefault="00250F2B" w:rsidP="00250F2B">
      <w:pPr>
        <w:spacing w:after="0" w:line="240" w:lineRule="auto"/>
        <w:jc w:val="both"/>
        <w:rPr>
          <w:rFonts w:ascii="Verdana" w:hAnsi="Verdana" w:cs="Arial"/>
          <w:i/>
          <w:iCs/>
        </w:rPr>
      </w:pPr>
    </w:p>
    <w:p w14:paraId="7850F2D4" w14:textId="77777777" w:rsidR="00250F2B" w:rsidRPr="00663BD6" w:rsidRDefault="00250F2B" w:rsidP="00250F2B">
      <w:pPr>
        <w:spacing w:after="0" w:line="240" w:lineRule="auto"/>
        <w:jc w:val="both"/>
        <w:rPr>
          <w:rFonts w:ascii="Verdana" w:hAnsi="Verdana" w:cs="Arial"/>
          <w:i/>
          <w:iCs/>
        </w:rPr>
      </w:pPr>
      <w:r w:rsidRPr="00663BD6">
        <w:rPr>
          <w:rFonts w:ascii="Verdana" w:hAnsi="Verdana" w:cs="Arial"/>
          <w:i/>
          <w:iCs/>
        </w:rPr>
        <w:t>Aquellos proyectos de reforma que se encuentren en curso y que no cumplan con estas instrucciones serán devueltos a las entidades para su ajuste. No obstante, otras propuestas de reforma podrán ser estudiadas en caso de considerarse como prioritarias para el Gobierno Nacional. (…)”</w:t>
      </w:r>
    </w:p>
    <w:p w14:paraId="5480B0DE" w14:textId="77777777" w:rsidR="00250F2B" w:rsidRPr="00663BD6" w:rsidRDefault="00250F2B" w:rsidP="00250F2B">
      <w:pPr>
        <w:spacing w:after="0" w:line="240" w:lineRule="auto"/>
        <w:jc w:val="both"/>
        <w:rPr>
          <w:rFonts w:ascii="Verdana" w:hAnsi="Verdana" w:cs="Arial"/>
        </w:rPr>
      </w:pPr>
    </w:p>
    <w:p w14:paraId="680E063E" w14:textId="77777777" w:rsidR="00250F2B" w:rsidRPr="00663BD6" w:rsidRDefault="00250F2B" w:rsidP="00250F2B">
      <w:pPr>
        <w:spacing w:after="0" w:line="240" w:lineRule="auto"/>
        <w:jc w:val="both"/>
        <w:rPr>
          <w:rFonts w:ascii="Verdana" w:hAnsi="Verdana" w:cs="Arial"/>
        </w:rPr>
      </w:pPr>
      <w:r w:rsidRPr="00663BD6">
        <w:rPr>
          <w:rFonts w:ascii="Verdana" w:hAnsi="Verdana" w:cs="Arial"/>
        </w:rPr>
        <w:t>Del marco normativo y reglamentario se deduce que el ICBF no tiene la posibilidad de ampliar la planta de personal de manera autónoma e independiente, pues existe un procedimiento que implica la interacción con diferentes instancias gubernamentales.</w:t>
      </w:r>
    </w:p>
    <w:p w14:paraId="7D12714E" w14:textId="77777777" w:rsidR="00250F2B" w:rsidRPr="00663BD6" w:rsidRDefault="00250F2B" w:rsidP="00250F2B">
      <w:pPr>
        <w:spacing w:after="0" w:line="240" w:lineRule="auto"/>
        <w:jc w:val="both"/>
        <w:rPr>
          <w:rFonts w:ascii="Verdana" w:hAnsi="Verdana" w:cs="Arial"/>
        </w:rPr>
      </w:pPr>
    </w:p>
    <w:p w14:paraId="4791B60C" w14:textId="77777777" w:rsidR="00250F2B" w:rsidRPr="00663BD6" w:rsidRDefault="00250F2B" w:rsidP="00250F2B">
      <w:pPr>
        <w:spacing w:after="0" w:line="240" w:lineRule="auto"/>
        <w:jc w:val="both"/>
        <w:rPr>
          <w:rFonts w:ascii="Verdana" w:hAnsi="Verdana" w:cs="Arial"/>
          <w:b/>
          <w:bCs/>
        </w:rPr>
      </w:pPr>
      <w:r w:rsidRPr="00663BD6">
        <w:rPr>
          <w:rFonts w:ascii="Verdana" w:hAnsi="Verdana" w:cs="Arial"/>
          <w:b/>
          <w:bCs/>
        </w:rPr>
        <w:t>Estudio de cargas laborales</w:t>
      </w:r>
    </w:p>
    <w:p w14:paraId="3C01B5D0" w14:textId="77777777" w:rsidR="00250F2B" w:rsidRPr="00663BD6" w:rsidRDefault="00250F2B" w:rsidP="00250F2B">
      <w:pPr>
        <w:spacing w:after="0" w:line="240" w:lineRule="auto"/>
        <w:jc w:val="both"/>
        <w:rPr>
          <w:rFonts w:ascii="Verdana" w:hAnsi="Verdana" w:cs="Arial"/>
        </w:rPr>
      </w:pPr>
    </w:p>
    <w:p w14:paraId="28A8C308" w14:textId="77777777" w:rsidR="00250F2B" w:rsidRPr="00663BD6" w:rsidRDefault="00250F2B" w:rsidP="00250F2B">
      <w:pPr>
        <w:spacing w:after="0" w:line="240" w:lineRule="auto"/>
        <w:jc w:val="both"/>
        <w:rPr>
          <w:rFonts w:ascii="Verdana" w:hAnsi="Verdana" w:cs="Arial"/>
        </w:rPr>
      </w:pPr>
      <w:r w:rsidRPr="00663BD6">
        <w:rPr>
          <w:rFonts w:ascii="Verdana" w:hAnsi="Verdana" w:cs="Arial"/>
        </w:rPr>
        <w:t>La Entidad realizó estudio de cargas enmarcado en el proyecto desarrollado en el año 2015 a través del contrato de consultoría No. 1133 suscrito con la empresa consultora Tzikin Aaj S.A.S.; cada una de las etapas desarrolladas en las fases del estudio, los insumos para su realización, el análisis de resultados por fase y por dependencia de acuerdo con la estructura organizacional del ICBF, incluidos los grupos internos de las Regionales, se desarrollaron de acuerdo con lo establecido por el Departamento Administrativo de la Función Pública y el ICBF. Del cual se concluyó lo siguiente en el análisis de cargas:</w:t>
      </w:r>
    </w:p>
    <w:p w14:paraId="6D4ED4E8" w14:textId="77777777" w:rsidR="00250F2B" w:rsidRPr="00663BD6" w:rsidRDefault="00250F2B" w:rsidP="00250F2B">
      <w:pPr>
        <w:spacing w:after="0" w:line="240" w:lineRule="auto"/>
        <w:jc w:val="both"/>
        <w:rPr>
          <w:rFonts w:ascii="Verdana" w:hAnsi="Verdana" w:cs="Arial"/>
        </w:rPr>
      </w:pPr>
    </w:p>
    <w:p w14:paraId="044AC1AB" w14:textId="77777777" w:rsidR="00250F2B" w:rsidRPr="00663BD6" w:rsidRDefault="00250F2B" w:rsidP="00250F2B">
      <w:pPr>
        <w:spacing w:after="0" w:line="240" w:lineRule="auto"/>
        <w:jc w:val="both"/>
        <w:rPr>
          <w:rFonts w:ascii="Verdana" w:hAnsi="Verdana" w:cs="Arial"/>
          <w:i/>
          <w:iCs/>
        </w:rPr>
      </w:pPr>
      <w:r w:rsidRPr="00663BD6">
        <w:rPr>
          <w:rFonts w:ascii="Verdana" w:hAnsi="Verdana" w:cs="Arial"/>
          <w:i/>
          <w:iCs/>
        </w:rPr>
        <w:t>“(…) El resultado general del estudio de cargas de trabajo aumento un 17% con relación al resultado del estudio realizado en el 2012, pasando de una necesidad de 10.799 colaboradores a 12.951:</w:t>
      </w:r>
    </w:p>
    <w:p w14:paraId="42F47A7D" w14:textId="77777777" w:rsidR="00250F2B" w:rsidRPr="00663BD6" w:rsidRDefault="00250F2B" w:rsidP="00250F2B">
      <w:pPr>
        <w:spacing w:after="0" w:line="240" w:lineRule="auto"/>
        <w:jc w:val="both"/>
        <w:rPr>
          <w:rFonts w:ascii="Verdana" w:hAnsi="Verdana" w:cs="Arial"/>
        </w:rPr>
      </w:pPr>
    </w:p>
    <w:p w14:paraId="380BDE2F" w14:textId="1422CEC8" w:rsidR="00250F2B" w:rsidRPr="00663BD6" w:rsidRDefault="00250F2B" w:rsidP="00250F2B">
      <w:pPr>
        <w:spacing w:after="0" w:line="240" w:lineRule="auto"/>
        <w:ind w:left="720"/>
        <w:jc w:val="both"/>
        <w:rPr>
          <w:rFonts w:ascii="Verdana" w:hAnsi="Verdana" w:cs="Arial"/>
        </w:rPr>
      </w:pPr>
      <w:r w:rsidRPr="00663BD6">
        <w:rPr>
          <w:rFonts w:ascii="Verdana" w:hAnsi="Verdana" w:cs="Arial"/>
          <w:noProof/>
          <w:lang w:val="es-CO" w:eastAsia="es-CO"/>
        </w:rPr>
        <w:lastRenderedPageBreak/>
        <w:drawing>
          <wp:inline distT="0" distB="0" distL="0" distR="0" wp14:anchorId="16F59131" wp14:editId="5DC2C595">
            <wp:extent cx="4543425" cy="2886075"/>
            <wp:effectExtent l="0" t="0" r="9525" b="9525"/>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Tabl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3425" cy="2886075"/>
                    </a:xfrm>
                    <a:prstGeom prst="rect">
                      <a:avLst/>
                    </a:prstGeom>
                    <a:noFill/>
                    <a:ln>
                      <a:noFill/>
                    </a:ln>
                  </pic:spPr>
                </pic:pic>
              </a:graphicData>
            </a:graphic>
          </wp:inline>
        </w:drawing>
      </w:r>
    </w:p>
    <w:p w14:paraId="3A578392" w14:textId="77777777" w:rsidR="00250F2B" w:rsidRPr="00663BD6" w:rsidRDefault="00250F2B" w:rsidP="00250F2B">
      <w:pPr>
        <w:spacing w:after="0" w:line="240" w:lineRule="auto"/>
        <w:jc w:val="both"/>
        <w:rPr>
          <w:rFonts w:ascii="Verdana" w:hAnsi="Verdana" w:cs="Arial"/>
        </w:rPr>
      </w:pPr>
    </w:p>
    <w:p w14:paraId="4A5F515A" w14:textId="77777777" w:rsidR="00250F2B" w:rsidRPr="00663BD6" w:rsidRDefault="00250F2B" w:rsidP="00250F2B">
      <w:pPr>
        <w:spacing w:line="240" w:lineRule="auto"/>
        <w:jc w:val="both"/>
        <w:rPr>
          <w:rFonts w:ascii="Verdana" w:hAnsi="Verdana" w:cs="Arial"/>
        </w:rPr>
      </w:pPr>
      <w:r w:rsidRPr="00663BD6">
        <w:rPr>
          <w:rFonts w:ascii="Verdana" w:hAnsi="Verdana" w:cs="Arial"/>
        </w:rPr>
        <w:t>Al respecto es preciso que se considere que, el Consejo Directivo del Instituto Colombiano de Bienestar Familiar, en sesiones del 24 de agosto y 20 de septiembre de 2016 mediante Actas número 137 y 139, aprobó el trámite de formalización de la planta temporal para presentar el estudio técnico de creación de la nueva planta de empleos temporales del ICBF, ante las instancias pertinentes.</w:t>
      </w:r>
    </w:p>
    <w:p w14:paraId="45C0D751" w14:textId="77777777" w:rsidR="00250F2B" w:rsidRPr="00663BD6" w:rsidRDefault="00250F2B" w:rsidP="00250F2B">
      <w:pPr>
        <w:spacing w:line="240" w:lineRule="auto"/>
        <w:jc w:val="both"/>
        <w:rPr>
          <w:rFonts w:ascii="Verdana" w:hAnsi="Verdana" w:cs="Arial"/>
          <w:lang w:eastAsia="es-CO"/>
        </w:rPr>
      </w:pPr>
      <w:r w:rsidRPr="00663BD6">
        <w:rPr>
          <w:rFonts w:ascii="Verdana" w:hAnsi="Verdana" w:cs="Arial"/>
          <w:lang w:eastAsia="es-CO"/>
        </w:rPr>
        <w:t>Consecuente con lo anterior, el Instituto Colombiano de Bienestar Familiar, presentó al Departamento Administrativo de la Función Pública, el correspondiente estudio técnico de que trata el artículo 46 de la Ley 909 de 2004 modificado por el artículo 228 del Decreto-ley 019 de 2012 y los artículos 2.2.12.1 a 2.2.12.3 del Decreto 1083 de 2015, para efectos de modificar la planta de personal, el cual emitió concepto técnico favorable.</w:t>
      </w:r>
    </w:p>
    <w:p w14:paraId="12110E4D" w14:textId="77777777" w:rsidR="00250F2B" w:rsidRPr="00663BD6" w:rsidRDefault="00250F2B" w:rsidP="00250F2B">
      <w:pPr>
        <w:spacing w:line="240" w:lineRule="auto"/>
        <w:jc w:val="both"/>
        <w:rPr>
          <w:rFonts w:ascii="Verdana" w:hAnsi="Verdana" w:cs="Arial"/>
          <w:lang w:eastAsia="es-CO"/>
        </w:rPr>
      </w:pPr>
      <w:r w:rsidRPr="00663BD6">
        <w:rPr>
          <w:rFonts w:ascii="Verdana" w:hAnsi="Verdana" w:cs="Arial"/>
          <w:lang w:eastAsia="es-CO"/>
        </w:rPr>
        <w:t>En efecto, el Departamento Nacional de Planeación DNP con oficio número 20164320867511 del 18 de noviembre de 2016, expidió concepto favorable para la creación de 3.737 empleos temporales en la Planta de Personal para el ICBF por un periodo de cuatro años contados a partir del 1° de enero de 2017 hasta el 31 de diciembre de 2020, con cargo a los siguientes proyectos de inversión: “Asistencia al modelo de intervención social del ICBF a nivel nacional” con código BPIN 2015011000182, Protección - Acciones para preservar y restituir el ejercicio integral de los derechos de la niñez y la familia con código BPIN 1004000480000 y Asistencia a la Primera Infancia a Nivel Nacional con código BPIN 1004001210000.</w:t>
      </w:r>
    </w:p>
    <w:p w14:paraId="335E6B94" w14:textId="77777777" w:rsidR="00250F2B" w:rsidRPr="00663BD6" w:rsidRDefault="00250F2B" w:rsidP="00250F2B">
      <w:pPr>
        <w:spacing w:line="240" w:lineRule="auto"/>
        <w:jc w:val="both"/>
        <w:rPr>
          <w:rFonts w:ascii="Verdana" w:hAnsi="Verdana" w:cs="Arial"/>
          <w:lang w:eastAsia="es-CO"/>
        </w:rPr>
      </w:pPr>
      <w:r w:rsidRPr="00663BD6">
        <w:rPr>
          <w:rFonts w:ascii="Verdana" w:hAnsi="Verdana" w:cs="Arial"/>
          <w:lang w:eastAsia="es-CO"/>
        </w:rPr>
        <w:t>En virtud del citado trámite, se expidió el Decreto número 2138 de 2016, que creó la planta temporal en el Instituto Colombiano de Bienestar Familiar dentro del periodo comprendido entre el 2 de enero de 2017 y el 31 de diciembre de 2017.</w:t>
      </w:r>
    </w:p>
    <w:p w14:paraId="4851CACE" w14:textId="77777777" w:rsidR="00250F2B" w:rsidRPr="00663BD6" w:rsidRDefault="00250F2B" w:rsidP="00250F2B">
      <w:pPr>
        <w:spacing w:line="240" w:lineRule="auto"/>
        <w:jc w:val="both"/>
        <w:rPr>
          <w:rFonts w:ascii="Verdana" w:hAnsi="Verdana" w:cs="Arial"/>
          <w:lang w:eastAsia="es-CO"/>
        </w:rPr>
      </w:pPr>
      <w:r w:rsidRPr="00663BD6">
        <w:rPr>
          <w:rFonts w:ascii="Verdana" w:hAnsi="Verdana" w:cs="Arial"/>
          <w:lang w:eastAsia="es-CO"/>
        </w:rPr>
        <w:t xml:space="preserve">Posteriormente, la Ley 1837 de 2017 “por la cual se efectúan unas modificaciones al Presupuesto General de la Nación para la vigencia fiscal”, la cual se reglamentó mediante Decreto 1238 de 2017, contra acreditaron los rubros de inversión del ICBF mediante los cuales se financian los proyectos de inversión “Asistencia al modelo de intervención social del ICBF a nivel nacional” con código BPIN 2015011000182, Protección - Acciones para preservar y restituir el ejercicio integral de los derechos de la niñez y la familia con código BPIN 1004000480000 y Asistencia a la Primera Infancia a Nivel Nacional con código BPIN 1004001210000, los cuales sustentan presupuestalmente la planta temporal creada mediante Decreto 2138 de 2016. </w:t>
      </w:r>
    </w:p>
    <w:p w14:paraId="04DE29F7" w14:textId="77777777" w:rsidR="00250F2B" w:rsidRPr="00663BD6" w:rsidRDefault="00250F2B" w:rsidP="00250F2B">
      <w:pPr>
        <w:spacing w:line="240" w:lineRule="auto"/>
        <w:jc w:val="both"/>
        <w:rPr>
          <w:rFonts w:ascii="Verdana" w:hAnsi="Verdana" w:cs="Arial"/>
          <w:lang w:eastAsia="es-CO"/>
        </w:rPr>
      </w:pPr>
      <w:r w:rsidRPr="00663BD6">
        <w:rPr>
          <w:rFonts w:ascii="Verdana" w:hAnsi="Verdana" w:cs="Arial"/>
          <w:lang w:eastAsia="es-CO"/>
        </w:rPr>
        <w:t xml:space="preserve">Las anteriores gestiones administrativas determinaron la supresión de la planta temporal y la ampliación de la planta de personal del ICBF, la cual se materializó mediante Decreto 1479 de 4 de septiembre de 2017, a través de la cual, se </w:t>
      </w:r>
      <w:r w:rsidRPr="00663BD6">
        <w:rPr>
          <w:rFonts w:ascii="Verdana" w:hAnsi="Verdana" w:cs="Arial"/>
          <w:lang w:eastAsia="es-CO"/>
        </w:rPr>
        <w:lastRenderedPageBreak/>
        <w:t>fortalecieron los equipos de las Defensorías de Familia, con más de 2.800 cargos, las áreas administrativas y misionales con 479 profesionales; en efecto, la planta global del Instituto paso de contar con 5.127 a 8.856 empleados.</w:t>
      </w:r>
    </w:p>
    <w:p w14:paraId="59FC9623" w14:textId="77777777" w:rsidR="00250F2B" w:rsidRPr="00663BD6" w:rsidRDefault="00250F2B" w:rsidP="00250F2B">
      <w:pPr>
        <w:spacing w:line="240" w:lineRule="auto"/>
        <w:jc w:val="both"/>
        <w:rPr>
          <w:rFonts w:ascii="Verdana" w:hAnsi="Verdana" w:cs="Arial"/>
          <w:lang w:eastAsia="es-CO"/>
        </w:rPr>
      </w:pPr>
      <w:r w:rsidRPr="00663BD6">
        <w:rPr>
          <w:rFonts w:ascii="Verdana" w:hAnsi="Verdana" w:cs="Arial"/>
          <w:lang w:eastAsia="es-CO"/>
        </w:rPr>
        <w:t>Del anterior trámite se evidencia que las directivas de la Entidad, adelantaron las gestiones administrativas para contar con personal vinculado a través de relación de carácter laboral y morigerar la contratación a través de prestación de servicios, no obstante, el impacto que representa las modificaciones legales, la sistematización de los procesos, entre otros factores, implican la necesidad de contratación a través de prestación de servicios, toda vez que el número de funcionarios es inferior al número de personas que se requieren para garantizar la prestación del servicio.</w:t>
      </w:r>
    </w:p>
    <w:p w14:paraId="4A189967" w14:textId="4F3B51E6" w:rsidR="00250F2B" w:rsidRPr="00663BD6" w:rsidRDefault="00250F2B" w:rsidP="00250F2B">
      <w:pPr>
        <w:spacing w:line="240" w:lineRule="auto"/>
        <w:jc w:val="both"/>
        <w:rPr>
          <w:rFonts w:ascii="Verdana" w:hAnsi="Verdana" w:cs="Arial"/>
          <w:lang w:eastAsia="es-CO"/>
        </w:rPr>
      </w:pPr>
      <w:r w:rsidRPr="00663BD6">
        <w:rPr>
          <w:rFonts w:ascii="Verdana" w:hAnsi="Verdana" w:cs="Arial"/>
          <w:lang w:eastAsia="es-CO"/>
        </w:rPr>
        <w:t xml:space="preserve">Es decir que la ampliación de la planta de la Entidad </w:t>
      </w:r>
      <w:r w:rsidR="007C4E86" w:rsidRPr="00663BD6">
        <w:rPr>
          <w:rFonts w:ascii="Verdana" w:hAnsi="Verdana" w:cs="Arial"/>
          <w:lang w:eastAsia="es-CO"/>
        </w:rPr>
        <w:t>está</w:t>
      </w:r>
      <w:r w:rsidRPr="00663BD6">
        <w:rPr>
          <w:rFonts w:ascii="Verdana" w:hAnsi="Verdana" w:cs="Arial"/>
          <w:lang w:eastAsia="es-CO"/>
        </w:rPr>
        <w:t xml:space="preserve"> sujeta a unos requisitos, conceptos y aprobaciones por parte del Gobierno Nacional, por tanto, la suscripción de contratos de prestación de servicios para ejecutar los programas del ICBF obedece a la necesidad que tiene la entidad de cumplir con su misionalidad ante la insuficiencia de personal en la actual planta de la entidad.</w:t>
      </w:r>
    </w:p>
    <w:p w14:paraId="5340C3B9" w14:textId="77777777" w:rsidR="007C4E86" w:rsidRDefault="007C4E86" w:rsidP="00250F2B">
      <w:pPr>
        <w:spacing w:line="240" w:lineRule="auto"/>
        <w:jc w:val="both"/>
        <w:rPr>
          <w:rFonts w:ascii="Verdana" w:hAnsi="Verdana" w:cs="Arial"/>
          <w:b/>
          <w:bCs/>
          <w:lang w:eastAsia="es-CO"/>
        </w:rPr>
      </w:pPr>
    </w:p>
    <w:p w14:paraId="2CC1D258" w14:textId="03BF0C1F" w:rsidR="00250F2B" w:rsidRPr="00663BD6" w:rsidRDefault="00250F2B" w:rsidP="00250F2B">
      <w:pPr>
        <w:spacing w:line="240" w:lineRule="auto"/>
        <w:jc w:val="both"/>
        <w:rPr>
          <w:rFonts w:ascii="Verdana" w:hAnsi="Verdana" w:cs="Arial"/>
          <w:b/>
          <w:bCs/>
          <w:lang w:eastAsia="es-CO"/>
        </w:rPr>
      </w:pPr>
      <w:r w:rsidRPr="00663BD6">
        <w:rPr>
          <w:rFonts w:ascii="Verdana" w:hAnsi="Verdana" w:cs="Arial"/>
          <w:b/>
          <w:bCs/>
          <w:lang w:eastAsia="es-CO"/>
        </w:rPr>
        <w:t>Del contrato de prestación de servicios</w:t>
      </w:r>
    </w:p>
    <w:p w14:paraId="22AF5037" w14:textId="77777777" w:rsidR="00250F2B" w:rsidRPr="00663BD6" w:rsidRDefault="00250F2B" w:rsidP="00250F2B">
      <w:pPr>
        <w:spacing w:line="240" w:lineRule="auto"/>
        <w:jc w:val="both"/>
        <w:rPr>
          <w:rFonts w:ascii="Verdana" w:hAnsi="Verdana" w:cs="Arial"/>
          <w:lang w:eastAsia="es-CO"/>
        </w:rPr>
      </w:pPr>
      <w:r w:rsidRPr="00663BD6">
        <w:rPr>
          <w:rFonts w:ascii="Verdana" w:hAnsi="Verdana" w:cs="Arial"/>
          <w:lang w:eastAsia="es-CO"/>
        </w:rPr>
        <w:t xml:space="preserve">Por otra parte, es pertinente recordar que el contrato de prestación de servicios está consagrado en el numeral tercero del artículo 32 de la ley 80 de 1993, el cual reza que: </w:t>
      </w:r>
    </w:p>
    <w:p w14:paraId="3AA50414" w14:textId="77777777" w:rsidR="00250F2B" w:rsidRPr="00663BD6" w:rsidRDefault="00250F2B" w:rsidP="00250F2B">
      <w:pPr>
        <w:spacing w:line="240" w:lineRule="auto"/>
        <w:ind w:left="708"/>
        <w:jc w:val="both"/>
        <w:rPr>
          <w:rFonts w:ascii="Verdana" w:hAnsi="Verdana" w:cs="Arial"/>
          <w:i/>
          <w:iCs/>
          <w:lang w:eastAsia="es-CO"/>
        </w:rPr>
      </w:pPr>
      <w:r w:rsidRPr="00663BD6">
        <w:rPr>
          <w:rFonts w:ascii="Verdana" w:hAnsi="Verdana" w:cs="Arial"/>
          <w:i/>
          <w:iCs/>
          <w:lang w:eastAsia="es-CO"/>
        </w:rPr>
        <w:t xml:space="preserve"> “Son contratos de prestación de servicios los que celebren las entidades estatales para desarrollar actividades relacionadas con la administración o funcionamiento de la entidad. Estos contratos sólo podrán celebrarse con personas naturales cuando dichas actividades no puedan realizarse con personal de planta o requieran conocimientos especializados.</w:t>
      </w:r>
    </w:p>
    <w:p w14:paraId="679A52A6" w14:textId="77777777" w:rsidR="00250F2B" w:rsidRPr="00663BD6" w:rsidRDefault="00250F2B" w:rsidP="00250F2B">
      <w:pPr>
        <w:spacing w:line="240" w:lineRule="auto"/>
        <w:ind w:left="708"/>
        <w:jc w:val="both"/>
        <w:rPr>
          <w:rFonts w:ascii="Verdana" w:hAnsi="Verdana" w:cs="Arial"/>
          <w:i/>
          <w:iCs/>
          <w:lang w:eastAsia="es-CO"/>
        </w:rPr>
      </w:pPr>
      <w:r w:rsidRPr="00663BD6">
        <w:rPr>
          <w:rFonts w:ascii="Verdana" w:hAnsi="Verdana" w:cs="Arial"/>
          <w:i/>
          <w:iCs/>
          <w:lang w:eastAsia="es-CO"/>
        </w:rPr>
        <w:t>En ningún caso estos contratos generan relación laboral ni prestaciones sociales y se celebrarán por el término estrictamente indispensable”.</w:t>
      </w:r>
    </w:p>
    <w:p w14:paraId="26618CEA" w14:textId="77777777" w:rsidR="00250F2B" w:rsidRPr="00663BD6" w:rsidRDefault="00250F2B" w:rsidP="00250F2B">
      <w:pPr>
        <w:spacing w:line="240" w:lineRule="auto"/>
        <w:jc w:val="both"/>
        <w:rPr>
          <w:rFonts w:ascii="Verdana" w:hAnsi="Verdana" w:cs="Arial"/>
          <w:lang w:eastAsia="es-CO"/>
        </w:rPr>
      </w:pPr>
      <w:r w:rsidRPr="00663BD6">
        <w:rPr>
          <w:rFonts w:ascii="Verdana" w:hAnsi="Verdana" w:cs="Arial"/>
          <w:lang w:eastAsia="es-CO"/>
        </w:rPr>
        <w:t>Por su parte, la Corte Constitucional con la sentencia C-614 del 2009 recordó la diferencia entre el contrato de prestación de servicios y el de carácter laboral, así:</w:t>
      </w:r>
    </w:p>
    <w:p w14:paraId="0767A1FC" w14:textId="77777777" w:rsidR="00250F2B" w:rsidRPr="00663BD6" w:rsidRDefault="00250F2B" w:rsidP="00250F2B">
      <w:pPr>
        <w:spacing w:line="240" w:lineRule="auto"/>
        <w:ind w:left="708"/>
        <w:jc w:val="both"/>
        <w:rPr>
          <w:rFonts w:ascii="Verdana" w:hAnsi="Verdana" w:cs="Arial"/>
          <w:i/>
          <w:iCs/>
          <w:lang w:eastAsia="es-CO"/>
        </w:rPr>
      </w:pPr>
      <w:r w:rsidRPr="00663BD6">
        <w:rPr>
          <w:rFonts w:ascii="Verdana" w:hAnsi="Verdana" w:cs="Arial"/>
          <w:i/>
          <w:iCs/>
          <w:lang w:eastAsia="es-CO"/>
        </w:rPr>
        <w:t>“...El contrato de prestación de servicios a que se refiere la norma demandada, se celebra por el Estado en aquellos eventos en que la función de la administración no puede ser suministrada por personas vinculadas con la entidad oficial contratante o cuando requiere de conocimientos especializados, para lo cual se establecen las siguientes características:</w:t>
      </w:r>
    </w:p>
    <w:p w14:paraId="2DBE0422" w14:textId="1E330832" w:rsidR="00250F2B" w:rsidRPr="00663BD6" w:rsidRDefault="00250F2B" w:rsidP="00250F2B">
      <w:pPr>
        <w:spacing w:line="240" w:lineRule="auto"/>
        <w:ind w:left="708"/>
        <w:jc w:val="both"/>
        <w:rPr>
          <w:rFonts w:ascii="Verdana" w:hAnsi="Verdana" w:cs="Arial"/>
          <w:i/>
          <w:iCs/>
          <w:lang w:eastAsia="es-CO"/>
        </w:rPr>
      </w:pPr>
      <w:r w:rsidRPr="00663BD6">
        <w:rPr>
          <w:rFonts w:ascii="Verdana" w:hAnsi="Verdana" w:cs="Arial"/>
          <w:i/>
          <w:iCs/>
          <w:lang w:eastAsia="es-CO"/>
        </w:rPr>
        <w:t xml:space="preserve">a.   La prestación de servicios versa sobre una obligación de hacer para la ejecución de labores </w:t>
      </w:r>
      <w:r w:rsidR="007C4E86" w:rsidRPr="00663BD6">
        <w:rPr>
          <w:rFonts w:ascii="Verdana" w:hAnsi="Verdana" w:cs="Arial"/>
          <w:i/>
          <w:iCs/>
          <w:lang w:eastAsia="es-CO"/>
        </w:rPr>
        <w:t>debido a</w:t>
      </w:r>
      <w:r w:rsidRPr="00663BD6">
        <w:rPr>
          <w:rFonts w:ascii="Verdana" w:hAnsi="Verdana" w:cs="Arial"/>
          <w:i/>
          <w:iCs/>
          <w:lang w:eastAsia="es-CO"/>
        </w:rPr>
        <w:t xml:space="preserve"> la experiencia, capacitación y formación profesional de una persona en determinada materia, con la cual se acuerdan las respectivas labores profesionales.</w:t>
      </w:r>
    </w:p>
    <w:p w14:paraId="6DB1600B" w14:textId="77777777" w:rsidR="00250F2B" w:rsidRPr="00663BD6" w:rsidRDefault="00250F2B" w:rsidP="00250F2B">
      <w:pPr>
        <w:spacing w:line="240" w:lineRule="auto"/>
        <w:ind w:left="708"/>
        <w:jc w:val="both"/>
        <w:rPr>
          <w:rFonts w:ascii="Verdana" w:hAnsi="Verdana" w:cs="Arial"/>
          <w:i/>
          <w:iCs/>
          <w:lang w:eastAsia="es-CO"/>
        </w:rPr>
      </w:pPr>
      <w:r w:rsidRPr="00663BD6">
        <w:rPr>
          <w:rFonts w:ascii="Verdana" w:hAnsi="Verdana" w:cs="Arial"/>
          <w:i/>
          <w:iCs/>
          <w:lang w:eastAsia="es-CO"/>
        </w:rPr>
        <w:t>El objeto contractual lo conforma la realización temporal de actividades inherentes al funcionamiento de la entidad respectiva, es decir, relacionadas con el objeto y finalidad para la cual fue creada y organizada. Podrá, por esta razón, el contrato de prestación de servicios tener también por objeto funciones administrativas en los términos que se establezcan por la ley, de acuerdo con el mandato constitucional contenido en el inciso segundo del artículo 210 de la Constitución Política, según el cual “...Los particulares pueden cumplir funciones administrativas en las condiciones que señale la ley.”.</w:t>
      </w:r>
    </w:p>
    <w:p w14:paraId="48BE8214" w14:textId="77777777" w:rsidR="00250F2B" w:rsidRPr="00663BD6" w:rsidRDefault="00250F2B" w:rsidP="00250F2B">
      <w:pPr>
        <w:spacing w:line="240" w:lineRule="auto"/>
        <w:ind w:left="708"/>
        <w:jc w:val="both"/>
        <w:rPr>
          <w:rFonts w:ascii="Verdana" w:hAnsi="Verdana" w:cs="Arial"/>
          <w:i/>
          <w:iCs/>
          <w:lang w:eastAsia="es-CO"/>
        </w:rPr>
      </w:pPr>
      <w:r w:rsidRPr="00663BD6">
        <w:rPr>
          <w:rFonts w:ascii="Verdana" w:hAnsi="Verdana" w:cs="Arial"/>
          <w:i/>
          <w:iCs/>
          <w:lang w:eastAsia="es-CO"/>
        </w:rPr>
        <w:t xml:space="preserve">b.   La autonomía e independencia del contratista desde el punto de vista técnico y científico, constituye el elemento esencial de este contrato. Esto </w:t>
      </w:r>
      <w:r w:rsidRPr="00663BD6">
        <w:rPr>
          <w:rFonts w:ascii="Verdana" w:hAnsi="Verdana" w:cs="Arial"/>
          <w:i/>
          <w:iCs/>
          <w:lang w:eastAsia="es-CO"/>
        </w:rPr>
        <w:lastRenderedPageBreak/>
        <w:t>significa que el contratista dispone de un amplio margen de discrecionalidad en cuanto concierne a la ejecución del objeto contractual dentro del plazo fijado y a la realización de la labor, según las estipulaciones acordadas.</w:t>
      </w:r>
    </w:p>
    <w:p w14:paraId="4F910B50" w14:textId="77777777" w:rsidR="00250F2B" w:rsidRPr="00663BD6" w:rsidRDefault="00250F2B" w:rsidP="00250F2B">
      <w:pPr>
        <w:spacing w:line="240" w:lineRule="auto"/>
        <w:ind w:left="708"/>
        <w:jc w:val="both"/>
        <w:rPr>
          <w:rFonts w:ascii="Verdana" w:hAnsi="Verdana" w:cs="Arial"/>
          <w:i/>
          <w:iCs/>
          <w:lang w:eastAsia="es-CO"/>
        </w:rPr>
      </w:pPr>
      <w:r w:rsidRPr="00663BD6">
        <w:rPr>
          <w:rFonts w:ascii="Verdana" w:hAnsi="Verdana" w:cs="Arial"/>
          <w:i/>
          <w:iCs/>
          <w:lang w:eastAsia="es-CO"/>
        </w:rPr>
        <w:t xml:space="preserve"> Es evidente que por regla general la función pública se presta por parte del personal perteneciente a la entidad oficial correspondiente y sólo, excepcionalmente, en los casos previstos, cuando las actividades de la administración no puedan realizarse con personal de planta o requieran de conocimientos especializados, aquellas podrán ser ejercidas a través de la modalidad del contrato de prestación de servicios.</w:t>
      </w:r>
    </w:p>
    <w:p w14:paraId="0A6BD1EF" w14:textId="77777777" w:rsidR="00250F2B" w:rsidRPr="00663BD6" w:rsidRDefault="00250F2B" w:rsidP="00250F2B">
      <w:pPr>
        <w:spacing w:line="240" w:lineRule="auto"/>
        <w:ind w:left="708"/>
        <w:jc w:val="both"/>
        <w:rPr>
          <w:rFonts w:ascii="Verdana" w:hAnsi="Verdana" w:cs="Arial"/>
          <w:i/>
          <w:iCs/>
          <w:lang w:eastAsia="es-CO"/>
        </w:rPr>
      </w:pPr>
      <w:r w:rsidRPr="00663BD6">
        <w:rPr>
          <w:rFonts w:ascii="Verdana" w:hAnsi="Verdana" w:cs="Arial"/>
          <w:i/>
          <w:iCs/>
          <w:lang w:eastAsia="es-CO"/>
        </w:rPr>
        <w:t>c.   La vigencia del contrato es temporal y, por lo tanto, su duración debe ser por tiempo limitado y el indispensable para ejecutar el objeto contractual convenido. En el caso de que las actividades con ellos atendidas demanden una permanencia mayor e indefinida, excediendo su carácter excepcional y temporal para convertirse en ordinario y permanente, será necesario que la respectiva entidad adopte las medidas y provisiones pertinentes a fin de que se dé cabal cumplimiento a lo previsto en el artículo 122 de la Carta Política, según el cual se requiere que el empleo público quede contemplado en la respectiva planta y previstos sus emolumentos en el presupuesto correspondiente.</w:t>
      </w:r>
    </w:p>
    <w:p w14:paraId="65617771" w14:textId="77777777" w:rsidR="00250F2B" w:rsidRPr="00663BD6" w:rsidRDefault="00250F2B" w:rsidP="00250F2B">
      <w:pPr>
        <w:spacing w:line="240" w:lineRule="auto"/>
        <w:ind w:left="708"/>
        <w:jc w:val="both"/>
        <w:rPr>
          <w:rFonts w:ascii="Verdana" w:hAnsi="Verdana" w:cs="Arial"/>
          <w:i/>
          <w:iCs/>
          <w:lang w:eastAsia="es-CO"/>
        </w:rPr>
      </w:pPr>
      <w:r w:rsidRPr="00663BD6">
        <w:rPr>
          <w:rFonts w:ascii="Verdana" w:hAnsi="Verdana" w:cs="Arial"/>
          <w:i/>
          <w:iCs/>
          <w:lang w:eastAsia="es-CO"/>
        </w:rPr>
        <w:t xml:space="preserve">Por último, teniendo en cuenta el grado de autonomía e independencia del contrato de prestación de servicios de que trata el precepto acusado y la naturaleza de las funciones desarrolladas, no es posible admitir confusión alguna con otras formas contractuales y mucho menos con los elementos configurativos de la relación laboral, razón por la cual </w:t>
      </w:r>
      <w:r w:rsidRPr="00663BD6">
        <w:rPr>
          <w:rFonts w:ascii="Verdana" w:hAnsi="Verdana" w:cs="Arial"/>
          <w:i/>
          <w:iCs/>
          <w:u w:val="single"/>
          <w:lang w:eastAsia="es-CO"/>
        </w:rPr>
        <w:t>no es procedente en aquellos eventos el reconocimiento de los derechos derivados de la subordinación y del contrato de trabajo en general, pues es claro que si se acredita la existencia de las características esenciales de éste quedará desvirtuada la presunción establecida en el precepto acusado y surgirá entonces el derecho al pago de las prestaciones sociales en favor del contratista, en aplicación del principio de la primacía de la realidad sobre las formas en las relaciones de trabajo</w:t>
      </w:r>
      <w:r w:rsidRPr="00663BD6">
        <w:rPr>
          <w:rFonts w:ascii="Verdana" w:hAnsi="Verdana" w:cs="Arial"/>
          <w:i/>
          <w:iCs/>
          <w:lang w:eastAsia="es-CO"/>
        </w:rPr>
        <w:t>.  Subraya fuera de texto.</w:t>
      </w:r>
    </w:p>
    <w:p w14:paraId="67301E0A" w14:textId="77777777" w:rsidR="00250F2B" w:rsidRPr="00663BD6" w:rsidRDefault="00250F2B" w:rsidP="00250F2B">
      <w:pPr>
        <w:spacing w:line="240" w:lineRule="auto"/>
        <w:ind w:left="708"/>
        <w:jc w:val="both"/>
        <w:rPr>
          <w:rFonts w:ascii="Verdana" w:hAnsi="Verdana" w:cs="Arial"/>
          <w:i/>
          <w:iCs/>
          <w:lang w:eastAsia="es-CO"/>
        </w:rPr>
      </w:pPr>
      <w:r w:rsidRPr="00663BD6">
        <w:rPr>
          <w:rFonts w:ascii="Verdana" w:hAnsi="Verdana" w:cs="Arial"/>
          <w:i/>
          <w:iCs/>
          <w:lang w:eastAsia="es-CO"/>
        </w:rPr>
        <w:t>De conformidad con lo anterior, el contrato de prestación de servicios se desfigura cuando se encuentran reunidos los requisitos de una relación laboral, como lo son, la prestación del servicio, la remuneración y la continuada subordinación laboral, lo que genera el pago de prestaciones sociales a favor del contratista, debido a la aplicación del principio de la primacía de la realidad, consagrado en el artículo 53 de la Constitución Política.</w:t>
      </w:r>
    </w:p>
    <w:p w14:paraId="3BFD465E" w14:textId="77777777" w:rsidR="00250F2B" w:rsidRPr="00663BD6" w:rsidRDefault="00250F2B" w:rsidP="00250F2B">
      <w:pPr>
        <w:spacing w:line="240" w:lineRule="auto"/>
        <w:ind w:left="708"/>
        <w:jc w:val="both"/>
        <w:rPr>
          <w:rFonts w:ascii="Verdana" w:hAnsi="Verdana" w:cs="Arial"/>
          <w:i/>
          <w:iCs/>
          <w:lang w:eastAsia="es-CO"/>
        </w:rPr>
      </w:pPr>
      <w:r w:rsidRPr="00663BD6">
        <w:rPr>
          <w:rFonts w:ascii="Verdana" w:hAnsi="Verdana" w:cs="Arial"/>
          <w:i/>
          <w:iCs/>
          <w:lang w:eastAsia="es-CO"/>
        </w:rPr>
        <w:t>En todo caso, los contratos de prestación de servicios celebrados por la Entidad Estatal gozan de presunción de legalidad, razón por la que está en cabeza del contratista demandante, demostrar los elementos esenciales y configurativos de una relación laboral; sin embargo, dicha acreditación no desnaturaliza la legalidad del acto pues en este escenario se reitera que, lo que se logra demostrar es la realidad sobre las formas, no siento declarada la nulidad del acto por ser ilegal.</w:t>
      </w:r>
    </w:p>
    <w:p w14:paraId="64420118" w14:textId="77777777" w:rsidR="00250F2B" w:rsidRPr="00663BD6" w:rsidRDefault="00250F2B" w:rsidP="00250F2B">
      <w:pPr>
        <w:spacing w:line="240" w:lineRule="auto"/>
        <w:jc w:val="center"/>
        <w:rPr>
          <w:rFonts w:ascii="Verdana" w:hAnsi="Verdana" w:cs="Arial"/>
        </w:rPr>
      </w:pPr>
      <w:r w:rsidRPr="00663BD6">
        <w:rPr>
          <w:rFonts w:ascii="Verdana" w:hAnsi="Verdana" w:cs="Arial"/>
          <w:b/>
          <w:bCs/>
        </w:rPr>
        <w:t>RECOMENDACIÓN</w:t>
      </w:r>
    </w:p>
    <w:p w14:paraId="1802415C" w14:textId="77777777" w:rsidR="00195BDC" w:rsidRPr="00663BD6" w:rsidRDefault="00195BDC" w:rsidP="00195BDC">
      <w:pPr>
        <w:spacing w:after="0" w:line="240" w:lineRule="auto"/>
        <w:jc w:val="both"/>
        <w:rPr>
          <w:rFonts w:ascii="Verdana" w:hAnsi="Verdana" w:cs="Arial"/>
          <w:bCs/>
        </w:rPr>
      </w:pPr>
    </w:p>
    <w:p w14:paraId="41CFF15D" w14:textId="1864E90D" w:rsidR="002F7926" w:rsidRPr="00711A84" w:rsidRDefault="007C4E86" w:rsidP="002F7926">
      <w:pPr>
        <w:spacing w:after="0" w:line="240" w:lineRule="auto"/>
        <w:jc w:val="center"/>
        <w:rPr>
          <w:rFonts w:ascii="Verdana" w:hAnsi="Verdana" w:cs="Arial"/>
          <w:b/>
          <w:color w:val="000000" w:themeColor="text1"/>
        </w:rPr>
      </w:pPr>
      <w:r w:rsidRPr="007C4E86">
        <w:rPr>
          <w:rFonts w:ascii="Verdana" w:hAnsi="Verdana" w:cs="Arial"/>
          <w:b/>
          <w:color w:val="000000" w:themeColor="text1"/>
          <w:highlight w:val="yellow"/>
        </w:rPr>
        <w:t xml:space="preserve">Nombre del abogado que expone la </w:t>
      </w:r>
      <w:proofErr w:type="gramStart"/>
      <w:r w:rsidRPr="007C4E86">
        <w:rPr>
          <w:rFonts w:ascii="Verdana" w:hAnsi="Verdana" w:cs="Arial"/>
          <w:b/>
          <w:color w:val="000000" w:themeColor="text1"/>
          <w:highlight w:val="yellow"/>
        </w:rPr>
        <w:t>ficha  XXXXX</w:t>
      </w:r>
      <w:proofErr w:type="gramEnd"/>
    </w:p>
    <w:p w14:paraId="616B50EE" w14:textId="77777777" w:rsidR="002F7926" w:rsidRPr="00711A84" w:rsidRDefault="002F7926" w:rsidP="002F7926">
      <w:pPr>
        <w:spacing w:after="0" w:line="240" w:lineRule="auto"/>
        <w:jc w:val="center"/>
        <w:rPr>
          <w:rFonts w:ascii="Verdana" w:hAnsi="Verdana" w:cs="Arial"/>
          <w:b/>
          <w:i/>
          <w:color w:val="000000" w:themeColor="text1"/>
          <w:lang w:val="es-CO"/>
        </w:rPr>
      </w:pPr>
      <w:r w:rsidRPr="00711A84">
        <w:rPr>
          <w:rFonts w:ascii="Verdana" w:hAnsi="Verdana" w:cs="Arial"/>
          <w:b/>
          <w:i/>
          <w:color w:val="000000" w:themeColor="text1"/>
          <w:lang w:val="es-CO"/>
        </w:rPr>
        <w:t>Grupo de Representación Judicial</w:t>
      </w:r>
    </w:p>
    <w:p w14:paraId="2B32400D" w14:textId="6B454E36" w:rsidR="002F7926" w:rsidRPr="002F7926" w:rsidRDefault="002F7926" w:rsidP="002F7926">
      <w:pPr>
        <w:spacing w:line="240" w:lineRule="auto"/>
        <w:jc w:val="center"/>
        <w:rPr>
          <w:rFonts w:ascii="Verdana" w:hAnsi="Verdana"/>
          <w:b/>
        </w:rPr>
      </w:pPr>
      <w:r w:rsidRPr="00711A84">
        <w:rPr>
          <w:rFonts w:ascii="Verdana" w:hAnsi="Verdana" w:cs="Arial"/>
          <w:b/>
          <w:i/>
          <w:color w:val="000000" w:themeColor="text1"/>
          <w:lang w:val="es-CO"/>
        </w:rPr>
        <w:t>Oficina</w:t>
      </w:r>
      <w:r w:rsidR="007C4E86">
        <w:rPr>
          <w:rFonts w:ascii="Verdana" w:hAnsi="Verdana" w:cs="Arial"/>
          <w:b/>
          <w:i/>
          <w:color w:val="000000" w:themeColor="text1"/>
          <w:lang w:val="es-CO"/>
        </w:rPr>
        <w:t xml:space="preserve"> </w:t>
      </w:r>
      <w:r w:rsidRPr="00711A84">
        <w:rPr>
          <w:rFonts w:ascii="Verdana" w:hAnsi="Verdana" w:cs="Arial"/>
          <w:b/>
          <w:i/>
          <w:color w:val="000000" w:themeColor="text1"/>
          <w:lang w:val="es-CO"/>
        </w:rPr>
        <w:t>Jurídica</w:t>
      </w:r>
    </w:p>
    <w:sectPr w:rsidR="002F7926" w:rsidRPr="002F7926" w:rsidSect="00681334">
      <w:headerReference w:type="even" r:id="rId11"/>
      <w:headerReference w:type="default" r:id="rId12"/>
      <w:footerReference w:type="even" r:id="rId13"/>
      <w:footerReference w:type="default" r:id="rId14"/>
      <w:headerReference w:type="first" r:id="rId15"/>
      <w:footerReference w:type="first" r:id="rId16"/>
      <w:pgSz w:w="12240" w:h="20160" w:code="5"/>
      <w:pgMar w:top="2339" w:right="1134" w:bottom="2410"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D5BA0" w14:textId="77777777" w:rsidR="00113DBD" w:rsidRDefault="00113DBD" w:rsidP="00B92FB1">
      <w:pPr>
        <w:spacing w:after="0" w:line="240" w:lineRule="auto"/>
      </w:pPr>
      <w:r>
        <w:separator/>
      </w:r>
    </w:p>
  </w:endnote>
  <w:endnote w:type="continuationSeparator" w:id="0">
    <w:p w14:paraId="390C5117" w14:textId="77777777" w:rsidR="00113DBD" w:rsidRDefault="00113DBD"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43EC" w14:textId="77777777" w:rsidR="00ED7110" w:rsidRDefault="00ED71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6AA8" w14:textId="77777777" w:rsidR="00681334" w:rsidRDefault="00681334" w:rsidP="00681334">
    <w:pPr>
      <w:spacing w:after="0" w:line="240" w:lineRule="auto"/>
      <w:ind w:left="-426"/>
    </w:pPr>
  </w:p>
  <w:p w14:paraId="666AA5E3" w14:textId="3836C8E2" w:rsidR="00B92FB1" w:rsidRDefault="00681334" w:rsidP="00681334">
    <w:pPr>
      <w:spacing w:after="0" w:line="240" w:lineRule="auto"/>
      <w:ind w:left="-851"/>
    </w:pPr>
    <w:r w:rsidRPr="00681334">
      <w:rPr>
        <w:noProof/>
      </w:rPr>
      <w:drawing>
        <wp:inline distT="0" distB="0" distL="0" distR="0" wp14:anchorId="0CD826F9" wp14:editId="7601EE79">
          <wp:extent cx="6696075" cy="1062355"/>
          <wp:effectExtent l="0" t="0" r="9525" b="4445"/>
          <wp:docPr id="224080554"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80554" name="Imagen 1" descr="Gráfico&#10;&#10;El contenido generado por IA puede ser incorrecto."/>
                  <pic:cNvPicPr/>
                </pic:nvPicPr>
                <pic:blipFill>
                  <a:blip r:embed="rId1"/>
                  <a:stretch>
                    <a:fillRect/>
                  </a:stretch>
                </pic:blipFill>
                <pic:spPr>
                  <a:xfrm>
                    <a:off x="0" y="0"/>
                    <a:ext cx="6696075" cy="1062355"/>
                  </a:xfrm>
                  <a:prstGeom prst="rect">
                    <a:avLst/>
                  </a:prstGeom>
                </pic:spPr>
              </pic:pic>
            </a:graphicData>
          </a:graphic>
        </wp:inline>
      </w:drawing>
    </w:r>
    <w:r w:rsidR="00B92FB1">
      <w:t xml:space="preserve">                                                </w:t>
    </w:r>
  </w:p>
  <w:p w14:paraId="246AF2BF" w14:textId="77777777" w:rsidR="00B92FB1" w:rsidRDefault="00B92F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5037" w14:textId="77777777" w:rsidR="00ED7110" w:rsidRDefault="00ED71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A969" w14:textId="77777777" w:rsidR="00113DBD" w:rsidRDefault="00113DBD" w:rsidP="00B92FB1">
      <w:pPr>
        <w:spacing w:after="0" w:line="240" w:lineRule="auto"/>
      </w:pPr>
      <w:r>
        <w:separator/>
      </w:r>
    </w:p>
  </w:footnote>
  <w:footnote w:type="continuationSeparator" w:id="0">
    <w:p w14:paraId="73F3547B" w14:textId="77777777" w:rsidR="00113DBD" w:rsidRDefault="00113DBD" w:rsidP="00B92FB1">
      <w:pPr>
        <w:spacing w:after="0" w:line="240" w:lineRule="auto"/>
      </w:pPr>
      <w:r>
        <w:continuationSeparator/>
      </w:r>
    </w:p>
  </w:footnote>
  <w:footnote w:id="1">
    <w:p w14:paraId="3140F8BE" w14:textId="77777777" w:rsidR="00250F2B" w:rsidRDefault="00250F2B" w:rsidP="00250F2B">
      <w:pPr>
        <w:pStyle w:val="Textonotapie"/>
      </w:pPr>
      <w:r>
        <w:rPr>
          <w:rStyle w:val="Refdenotaalpie"/>
        </w:rPr>
        <w:footnoteRef/>
      </w:r>
      <w:r>
        <w:t xml:space="preserve"> </w:t>
      </w:r>
      <w:r>
        <w:rPr>
          <w:rFonts w:ascii="Arial" w:hAnsi="Arial" w:cs="Arial"/>
          <w:sz w:val="16"/>
          <w:szCs w:val="16"/>
        </w:rPr>
        <w:t xml:space="preserve">Artículo 11 de la Ley 678 de 2001- modificado </w:t>
      </w:r>
      <w:r>
        <w:rPr>
          <w:rFonts w:ascii="Arial" w:hAnsi="Arial" w:cs="Arial"/>
          <w:color w:val="000000"/>
          <w:sz w:val="16"/>
          <w:szCs w:val="16"/>
        </w:rPr>
        <w:t>por el artículo </w:t>
      </w:r>
      <w:hyperlink r:id="rId1" w:anchor="42" w:history="1">
        <w:r>
          <w:rPr>
            <w:rStyle w:val="Hipervnculo"/>
            <w:rFonts w:ascii="Arial" w:hAnsi="Arial" w:cs="Arial"/>
            <w:color w:val="000000"/>
            <w:sz w:val="16"/>
            <w:szCs w:val="16"/>
          </w:rPr>
          <w:t>42</w:t>
        </w:r>
      </w:hyperlink>
      <w:r>
        <w:rPr>
          <w:rFonts w:ascii="Arial" w:hAnsi="Arial" w:cs="Arial"/>
          <w:color w:val="000000"/>
          <w:sz w:val="16"/>
          <w:szCs w:val="16"/>
        </w:rPr>
        <w:t> de la Ley 2195 de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CE1D" w14:textId="77777777" w:rsidR="00ED7110" w:rsidRDefault="00ED71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420C" w14:textId="54DC0307" w:rsidR="007C4E86" w:rsidRPr="007C4E86" w:rsidRDefault="007C4E86" w:rsidP="007C4E86">
    <w:pPr>
      <w:autoSpaceDE w:val="0"/>
      <w:autoSpaceDN w:val="0"/>
      <w:adjustRightInd w:val="0"/>
      <w:spacing w:after="0" w:line="240" w:lineRule="auto"/>
    </w:pPr>
    <w:r>
      <w:rPr>
        <w:noProof/>
      </w:rPr>
      <w:drawing>
        <wp:anchor distT="0" distB="0" distL="114300" distR="114300" simplePos="0" relativeHeight="251661312" behindDoc="1" locked="0" layoutInCell="1" allowOverlap="1" wp14:anchorId="6ED09110" wp14:editId="301346A2">
          <wp:simplePos x="0" y="0"/>
          <wp:positionH relativeFrom="margin">
            <wp:posOffset>-501015</wp:posOffset>
          </wp:positionH>
          <wp:positionV relativeFrom="paragraph">
            <wp:posOffset>-148590</wp:posOffset>
          </wp:positionV>
          <wp:extent cx="6568440" cy="1226820"/>
          <wp:effectExtent l="0" t="0" r="3810" b="0"/>
          <wp:wrapNone/>
          <wp:docPr id="14" name="Imagen 14" descr="Sin título-2_Mesa de trabajo 1 co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Sin título-2_Mesa de trabajo 1 copi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8440" cy="1226820"/>
                  </a:xfrm>
                  <a:prstGeom prst="rect">
                    <a:avLst/>
                  </a:prstGeom>
                  <a:noFill/>
                </pic:spPr>
              </pic:pic>
            </a:graphicData>
          </a:graphic>
          <wp14:sizeRelH relativeFrom="page">
            <wp14:pctWidth>0</wp14:pctWidth>
          </wp14:sizeRelH>
          <wp14:sizeRelV relativeFrom="page">
            <wp14:pctHeight>0</wp14:pctHeight>
          </wp14:sizeRelV>
        </wp:anchor>
      </w:drawing>
    </w:r>
    <w:sdt>
      <w:sdtPr>
        <w:id w:val="1994902992"/>
        <w:docPartObj>
          <w:docPartGallery w:val="Page Numbers (Margins)"/>
          <w:docPartUnique/>
        </w:docPartObj>
      </w:sdtPr>
      <w:sdtEndPr/>
      <w:sdtContent>
        <w:r w:rsidR="00663BD6">
          <w:rPr>
            <w:noProof/>
          </w:rPr>
          <mc:AlternateContent>
            <mc:Choice Requires="wps">
              <w:drawing>
                <wp:anchor distT="0" distB="0" distL="114300" distR="114300" simplePos="0" relativeHeight="251659264" behindDoc="0" locked="0" layoutInCell="0" allowOverlap="1" wp14:anchorId="66C81BB5" wp14:editId="1385D67F">
                  <wp:simplePos x="0" y="0"/>
                  <wp:positionH relativeFrom="rightMargin">
                    <wp:align>center</wp:align>
                  </wp:positionH>
                  <wp:positionV relativeFrom="margin">
                    <wp:align>bottom</wp:align>
                  </wp:positionV>
                  <wp:extent cx="510540" cy="2183130"/>
                  <wp:effectExtent l="0" t="0" r="3810" b="0"/>
                  <wp:wrapNone/>
                  <wp:docPr id="1258336317"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BC97E" w14:textId="77777777" w:rsidR="00663BD6" w:rsidRDefault="00663BD6">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6C81BB5" id="Rectángulo 4"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25DBC97E" w14:textId="77777777" w:rsidR="00663BD6" w:rsidRDefault="00663BD6">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Pr="007C12AE">
      <w:rPr>
        <w:rFonts w:ascii="Verdana" w:hAnsi="Verdana" w:cs="Arial"/>
        <w:b/>
        <w:szCs w:val="24"/>
      </w:rPr>
      <w:t>Instituto Colombiano de Bienestar Familiar</w:t>
    </w:r>
  </w:p>
  <w:p w14:paraId="49F17916" w14:textId="77777777" w:rsidR="007C4E86" w:rsidRPr="007C12AE" w:rsidRDefault="007C4E86" w:rsidP="007C4E86">
    <w:pPr>
      <w:autoSpaceDE w:val="0"/>
      <w:autoSpaceDN w:val="0"/>
      <w:adjustRightInd w:val="0"/>
      <w:spacing w:after="0" w:line="240" w:lineRule="auto"/>
      <w:rPr>
        <w:rFonts w:ascii="Verdana" w:hAnsi="Verdana" w:cs="Arial"/>
        <w:color w:val="808080"/>
        <w:szCs w:val="24"/>
      </w:rPr>
    </w:pPr>
    <w:r w:rsidRPr="007C12AE">
      <w:rPr>
        <w:rFonts w:ascii="Verdana" w:hAnsi="Verdana" w:cs="Arial"/>
        <w:color w:val="808080"/>
        <w:szCs w:val="24"/>
      </w:rPr>
      <w:t>Cecilia De la Fuente de Lleras</w:t>
    </w:r>
  </w:p>
  <w:p w14:paraId="4FBF19B5" w14:textId="77777777" w:rsidR="007C4E86" w:rsidRPr="007C12AE" w:rsidRDefault="007C4E86" w:rsidP="007C4E86">
    <w:pPr>
      <w:spacing w:after="0" w:line="240" w:lineRule="auto"/>
      <w:rPr>
        <w:rFonts w:ascii="Verdana" w:hAnsi="Verdana" w:cs="Arial"/>
        <w:b/>
        <w:color w:val="000000"/>
        <w:szCs w:val="24"/>
      </w:rPr>
    </w:pPr>
    <w:r>
      <w:rPr>
        <w:rFonts w:ascii="Verdana" w:hAnsi="Verdana" w:cs="Arial"/>
        <w:b/>
        <w:color w:val="000000"/>
        <w:szCs w:val="24"/>
      </w:rPr>
      <w:t>Oficina Jurídica</w:t>
    </w:r>
  </w:p>
  <w:p w14:paraId="714A10FD" w14:textId="77777777" w:rsidR="007C4E86" w:rsidRPr="007C12AE" w:rsidRDefault="007C4E86" w:rsidP="007C4E86">
    <w:pPr>
      <w:spacing w:after="0" w:line="240" w:lineRule="auto"/>
      <w:rPr>
        <w:rFonts w:ascii="Verdana" w:hAnsi="Verdana" w:cs="Arial"/>
        <w:b/>
        <w:color w:val="000000"/>
        <w:szCs w:val="24"/>
      </w:rPr>
    </w:pPr>
    <w:r>
      <w:rPr>
        <w:rFonts w:ascii="Verdana" w:hAnsi="Verdana" w:cs="Arial"/>
        <w:b/>
        <w:color w:val="000000"/>
        <w:szCs w:val="24"/>
      </w:rPr>
      <w:t>Sede de la Dirección General</w:t>
    </w:r>
  </w:p>
  <w:p w14:paraId="417AAAC1" w14:textId="77777777" w:rsidR="007C4E86" w:rsidRDefault="007C4E86" w:rsidP="007C4E86">
    <w:pPr>
      <w:spacing w:after="0" w:line="240" w:lineRule="auto"/>
      <w:rPr>
        <w:rFonts w:ascii="Verdana" w:hAnsi="Verdana" w:cs="Arial"/>
        <w:b/>
        <w:color w:val="000000"/>
        <w:szCs w:val="24"/>
      </w:rPr>
    </w:pPr>
    <w:r>
      <w:rPr>
        <w:rFonts w:ascii="Verdana" w:hAnsi="Verdana" w:cs="Arial"/>
        <w:b/>
        <w:color w:val="000000"/>
        <w:szCs w:val="24"/>
      </w:rPr>
      <w:t>PÚBLICA</w:t>
    </w:r>
  </w:p>
  <w:p w14:paraId="69859C77" w14:textId="19F576DF" w:rsidR="00B92FB1" w:rsidRDefault="00B92FB1" w:rsidP="00681334">
    <w:pPr>
      <w:pStyle w:val="Encabezado"/>
      <w:tabs>
        <w:tab w:val="clear" w:pos="8504"/>
        <w:tab w:val="right" w:pos="9214"/>
      </w:tabs>
      <w:ind w:left="-851" w:right="-568"/>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89EB" w14:textId="77777777" w:rsidR="00ED7110" w:rsidRDefault="00ED71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3682A"/>
    <w:rsid w:val="00041D6F"/>
    <w:rsid w:val="00067DAD"/>
    <w:rsid w:val="00096FEA"/>
    <w:rsid w:val="000C3941"/>
    <w:rsid w:val="000C3EA3"/>
    <w:rsid w:val="0010387F"/>
    <w:rsid w:val="001119CD"/>
    <w:rsid w:val="00113DBD"/>
    <w:rsid w:val="0012132F"/>
    <w:rsid w:val="001614AD"/>
    <w:rsid w:val="00195BDC"/>
    <w:rsid w:val="001B292E"/>
    <w:rsid w:val="001C242B"/>
    <w:rsid w:val="001C5706"/>
    <w:rsid w:val="00221DB9"/>
    <w:rsid w:val="002270C1"/>
    <w:rsid w:val="00236087"/>
    <w:rsid w:val="0024678E"/>
    <w:rsid w:val="00250F2B"/>
    <w:rsid w:val="00277F79"/>
    <w:rsid w:val="002C0ABC"/>
    <w:rsid w:val="002F0AC6"/>
    <w:rsid w:val="002F7926"/>
    <w:rsid w:val="00383B97"/>
    <w:rsid w:val="00397C60"/>
    <w:rsid w:val="003B10D4"/>
    <w:rsid w:val="003C2C40"/>
    <w:rsid w:val="00404F59"/>
    <w:rsid w:val="004554AF"/>
    <w:rsid w:val="004712FE"/>
    <w:rsid w:val="00490F50"/>
    <w:rsid w:val="004E5577"/>
    <w:rsid w:val="005300F0"/>
    <w:rsid w:val="00535C0C"/>
    <w:rsid w:val="005570C1"/>
    <w:rsid w:val="0057094E"/>
    <w:rsid w:val="005A7572"/>
    <w:rsid w:val="005D4C82"/>
    <w:rsid w:val="005D7D30"/>
    <w:rsid w:val="00621E1D"/>
    <w:rsid w:val="00663BD6"/>
    <w:rsid w:val="006675EC"/>
    <w:rsid w:val="00681334"/>
    <w:rsid w:val="006B1159"/>
    <w:rsid w:val="006C7934"/>
    <w:rsid w:val="006D1E9D"/>
    <w:rsid w:val="006D7672"/>
    <w:rsid w:val="006F669E"/>
    <w:rsid w:val="007148BE"/>
    <w:rsid w:val="00771492"/>
    <w:rsid w:val="007C4E86"/>
    <w:rsid w:val="00852245"/>
    <w:rsid w:val="00855DC1"/>
    <w:rsid w:val="008E1DA6"/>
    <w:rsid w:val="00915363"/>
    <w:rsid w:val="00942999"/>
    <w:rsid w:val="00947CE0"/>
    <w:rsid w:val="009B2507"/>
    <w:rsid w:val="009D0250"/>
    <w:rsid w:val="00A87367"/>
    <w:rsid w:val="00AC52A6"/>
    <w:rsid w:val="00B2730F"/>
    <w:rsid w:val="00B30715"/>
    <w:rsid w:val="00B822A7"/>
    <w:rsid w:val="00B92FB1"/>
    <w:rsid w:val="00BD1F25"/>
    <w:rsid w:val="00C02C9F"/>
    <w:rsid w:val="00C44CFF"/>
    <w:rsid w:val="00C66D71"/>
    <w:rsid w:val="00C8262C"/>
    <w:rsid w:val="00CC2D91"/>
    <w:rsid w:val="00D2239A"/>
    <w:rsid w:val="00D36767"/>
    <w:rsid w:val="00DC3468"/>
    <w:rsid w:val="00DC379E"/>
    <w:rsid w:val="00ED4218"/>
    <w:rsid w:val="00ED62E4"/>
    <w:rsid w:val="00ED7110"/>
    <w:rsid w:val="00F000ED"/>
    <w:rsid w:val="00F24DE6"/>
    <w:rsid w:val="00F976E4"/>
    <w:rsid w:val="00FB758C"/>
    <w:rsid w:val="00FD2D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2937"/>
  <w15:chartTrackingRefBased/>
  <w15:docId w15:val="{69963427-BFC3-4181-A80A-A7DFA6EA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customStyle="1" w:styleId="SinespaciadoCar">
    <w:name w:val="Sin espaciado Car"/>
    <w:link w:val="Sinespaciado"/>
    <w:uiPriority w:val="1"/>
    <w:locked/>
    <w:rsid w:val="00195BDC"/>
    <w:rPr>
      <w:sz w:val="22"/>
      <w:szCs w:val="22"/>
      <w:lang w:eastAsia="en-US"/>
    </w:rPr>
  </w:style>
  <w:style w:type="paragraph" w:styleId="Sinespaciado">
    <w:name w:val="No Spacing"/>
    <w:link w:val="SinespaciadoCar"/>
    <w:uiPriority w:val="1"/>
    <w:qFormat/>
    <w:rsid w:val="00195BDC"/>
    <w:rPr>
      <w:sz w:val="22"/>
      <w:szCs w:val="22"/>
      <w:lang w:eastAsia="en-US"/>
    </w:rPr>
  </w:style>
  <w:style w:type="character" w:styleId="Refdecomentario">
    <w:name w:val="annotation reference"/>
    <w:basedOn w:val="Fuentedeprrafopredeter"/>
    <w:uiPriority w:val="99"/>
    <w:semiHidden/>
    <w:unhideWhenUsed/>
    <w:rsid w:val="00195BDC"/>
    <w:rPr>
      <w:sz w:val="16"/>
      <w:szCs w:val="16"/>
    </w:rPr>
  </w:style>
  <w:style w:type="paragraph" w:styleId="Textocomentario">
    <w:name w:val="annotation text"/>
    <w:basedOn w:val="Normal"/>
    <w:link w:val="TextocomentarioCar"/>
    <w:uiPriority w:val="99"/>
    <w:semiHidden/>
    <w:unhideWhenUsed/>
    <w:rsid w:val="00195B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5BDC"/>
    <w:rPr>
      <w:lang w:val="es-ES" w:eastAsia="en-US"/>
    </w:rPr>
  </w:style>
  <w:style w:type="paragraph" w:styleId="Asuntodelcomentario">
    <w:name w:val="annotation subject"/>
    <w:basedOn w:val="Textocomentario"/>
    <w:next w:val="Textocomentario"/>
    <w:link w:val="AsuntodelcomentarioCar"/>
    <w:uiPriority w:val="99"/>
    <w:semiHidden/>
    <w:unhideWhenUsed/>
    <w:rsid w:val="00195BDC"/>
    <w:rPr>
      <w:b/>
      <w:bCs/>
    </w:rPr>
  </w:style>
  <w:style w:type="character" w:customStyle="1" w:styleId="AsuntodelcomentarioCar">
    <w:name w:val="Asunto del comentario Car"/>
    <w:basedOn w:val="TextocomentarioCar"/>
    <w:link w:val="Asuntodelcomentario"/>
    <w:uiPriority w:val="99"/>
    <w:semiHidden/>
    <w:rsid w:val="00195BDC"/>
    <w:rPr>
      <w:b/>
      <w:bCs/>
      <w:lang w:val="es-ES"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 Car Car Car,ft Car"/>
    <w:basedOn w:val="Fuentedeprrafopredeter"/>
    <w:link w:val="Textonotapie"/>
    <w:semiHidden/>
    <w:qFormat/>
    <w:locked/>
    <w:rsid w:val="00250F2B"/>
    <w:rPr>
      <w:rFonts w:ascii="Times New Roman" w:eastAsia="Times New Roman" w:hAnsi="Times New Roman"/>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 Car Car,texto de nota al pie,ft"/>
    <w:basedOn w:val="Normal"/>
    <w:link w:val="TextonotapieCar"/>
    <w:semiHidden/>
    <w:unhideWhenUsed/>
    <w:qFormat/>
    <w:rsid w:val="00250F2B"/>
    <w:pPr>
      <w:spacing w:after="0" w:line="240" w:lineRule="auto"/>
    </w:pPr>
    <w:rPr>
      <w:rFonts w:ascii="Times New Roman" w:eastAsia="Times New Roman" w:hAnsi="Times New Roman"/>
      <w:sz w:val="20"/>
      <w:szCs w:val="20"/>
      <w:lang w:val="es-CO" w:eastAsia="es-ES"/>
    </w:rPr>
  </w:style>
  <w:style w:type="character" w:customStyle="1" w:styleId="TextonotapieCar1">
    <w:name w:val="Texto nota pie Car1"/>
    <w:basedOn w:val="Fuentedeprrafopredeter"/>
    <w:uiPriority w:val="99"/>
    <w:semiHidden/>
    <w:rsid w:val="00250F2B"/>
    <w:rPr>
      <w:lang w:val="es-ES" w:eastAsia="en-US"/>
    </w:rPr>
  </w:style>
  <w:style w:type="character" w:styleId="Refdenotaalpie">
    <w:name w:val="footnote reference"/>
    <w:aliases w:val="Texto de nota al pie,Ref. de nota al pie 2,Pie de Página,FC,Fago Fußnotenzeichen,Appel note de bas de page,referencia nota al pie,Footnotes refss,Referencia nota al pie,BVI fnr,BVI fnr Car Car,BVI fnr Car,BVI fnr Car Car Car Car,f,Re"/>
    <w:link w:val="TextodenotaalpieCar"/>
    <w:uiPriority w:val="99"/>
    <w:unhideWhenUsed/>
    <w:qFormat/>
    <w:rsid w:val="00250F2B"/>
    <w:rPr>
      <w:vertAlign w:val="superscript"/>
    </w:rPr>
  </w:style>
  <w:style w:type="paragraph" w:customStyle="1" w:styleId="TextodenotaalpieCar">
    <w:name w:val="Texto de nota al pie Car"/>
    <w:aliases w:val="referencia nota al pie Car,BVI fnr Car Char Car Char Car,BVI fnr Car Car Car Char Car Char Car,BVI fnr Car Car Char Car Char Car"/>
    <w:basedOn w:val="Normal"/>
    <w:link w:val="Refdenotaalpie"/>
    <w:uiPriority w:val="99"/>
    <w:rsid w:val="00250F2B"/>
    <w:pPr>
      <w:spacing w:after="160" w:line="240" w:lineRule="exact"/>
    </w:pPr>
    <w:rPr>
      <w:sz w:val="20"/>
      <w:szCs w:val="20"/>
      <w:vertAlign w:val="superscript"/>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2427">
      <w:bodyDiv w:val="1"/>
      <w:marLeft w:val="0"/>
      <w:marRight w:val="0"/>
      <w:marTop w:val="0"/>
      <w:marBottom w:val="0"/>
      <w:divBdr>
        <w:top w:val="none" w:sz="0" w:space="0" w:color="auto"/>
        <w:left w:val="none" w:sz="0" w:space="0" w:color="auto"/>
        <w:bottom w:val="none" w:sz="0" w:space="0" w:color="auto"/>
        <w:right w:val="none" w:sz="0" w:space="0" w:color="auto"/>
      </w:divBdr>
    </w:div>
    <w:div w:id="534777865">
      <w:bodyDiv w:val="1"/>
      <w:marLeft w:val="0"/>
      <w:marRight w:val="0"/>
      <w:marTop w:val="0"/>
      <w:marBottom w:val="0"/>
      <w:divBdr>
        <w:top w:val="none" w:sz="0" w:space="0" w:color="auto"/>
        <w:left w:val="none" w:sz="0" w:space="0" w:color="auto"/>
        <w:bottom w:val="none" w:sz="0" w:space="0" w:color="auto"/>
        <w:right w:val="none" w:sz="0" w:space="0" w:color="auto"/>
      </w:divBdr>
    </w:div>
    <w:div w:id="568734599">
      <w:bodyDiv w:val="1"/>
      <w:marLeft w:val="0"/>
      <w:marRight w:val="0"/>
      <w:marTop w:val="0"/>
      <w:marBottom w:val="0"/>
      <w:divBdr>
        <w:top w:val="none" w:sz="0" w:space="0" w:color="auto"/>
        <w:left w:val="none" w:sz="0" w:space="0" w:color="auto"/>
        <w:bottom w:val="none" w:sz="0" w:space="0" w:color="auto"/>
        <w:right w:val="none" w:sz="0" w:space="0" w:color="auto"/>
      </w:divBdr>
    </w:div>
    <w:div w:id="1127049129">
      <w:bodyDiv w:val="1"/>
      <w:marLeft w:val="0"/>
      <w:marRight w:val="0"/>
      <w:marTop w:val="0"/>
      <w:marBottom w:val="0"/>
      <w:divBdr>
        <w:top w:val="none" w:sz="0" w:space="0" w:color="auto"/>
        <w:left w:val="none" w:sz="0" w:space="0" w:color="auto"/>
        <w:bottom w:val="none" w:sz="0" w:space="0" w:color="auto"/>
        <w:right w:val="none" w:sz="0" w:space="0" w:color="auto"/>
      </w:divBdr>
    </w:div>
    <w:div w:id="1639845927">
      <w:bodyDiv w:val="1"/>
      <w:marLeft w:val="0"/>
      <w:marRight w:val="0"/>
      <w:marTop w:val="0"/>
      <w:marBottom w:val="0"/>
      <w:divBdr>
        <w:top w:val="none" w:sz="0" w:space="0" w:color="auto"/>
        <w:left w:val="none" w:sz="0" w:space="0" w:color="auto"/>
        <w:bottom w:val="none" w:sz="0" w:space="0" w:color="auto"/>
        <w:right w:val="none" w:sz="0" w:space="0" w:color="auto"/>
      </w:divBdr>
    </w:div>
    <w:div w:id="1842961474">
      <w:bodyDiv w:val="1"/>
      <w:marLeft w:val="0"/>
      <w:marRight w:val="0"/>
      <w:marTop w:val="0"/>
      <w:marBottom w:val="0"/>
      <w:divBdr>
        <w:top w:val="none" w:sz="0" w:space="0" w:color="auto"/>
        <w:left w:val="none" w:sz="0" w:space="0" w:color="auto"/>
        <w:bottom w:val="none" w:sz="0" w:space="0" w:color="auto"/>
        <w:right w:val="none" w:sz="0" w:space="0" w:color="auto"/>
      </w:divBdr>
    </w:div>
    <w:div w:id="1874731215">
      <w:bodyDiv w:val="1"/>
      <w:marLeft w:val="0"/>
      <w:marRight w:val="0"/>
      <w:marTop w:val="0"/>
      <w:marBottom w:val="0"/>
      <w:divBdr>
        <w:top w:val="none" w:sz="0" w:space="0" w:color="auto"/>
        <w:left w:val="none" w:sz="0" w:space="0" w:color="auto"/>
        <w:bottom w:val="none" w:sz="0" w:space="0" w:color="auto"/>
        <w:right w:val="none" w:sz="0" w:space="0" w:color="auto"/>
      </w:divBdr>
    </w:div>
    <w:div w:id="1889023982">
      <w:bodyDiv w:val="1"/>
      <w:marLeft w:val="0"/>
      <w:marRight w:val="0"/>
      <w:marTop w:val="0"/>
      <w:marBottom w:val="0"/>
      <w:divBdr>
        <w:top w:val="none" w:sz="0" w:space="0" w:color="auto"/>
        <w:left w:val="none" w:sz="0" w:space="0" w:color="auto"/>
        <w:bottom w:val="none" w:sz="0" w:space="0" w:color="auto"/>
        <w:right w:val="none" w:sz="0" w:space="0" w:color="auto"/>
      </w:divBdr>
    </w:div>
    <w:div w:id="1943220987">
      <w:bodyDiv w:val="1"/>
      <w:marLeft w:val="0"/>
      <w:marRight w:val="0"/>
      <w:marTop w:val="0"/>
      <w:marBottom w:val="0"/>
      <w:divBdr>
        <w:top w:val="none" w:sz="0" w:space="0" w:color="auto"/>
        <w:left w:val="none" w:sz="0" w:space="0" w:color="auto"/>
        <w:bottom w:val="none" w:sz="0" w:space="0" w:color="auto"/>
        <w:right w:val="none" w:sz="0" w:space="0" w:color="auto"/>
      </w:divBdr>
    </w:div>
    <w:div w:id="213636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437_2011_pr004.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cretariasenado.gov.co/senado/basedoc/ley_2195_2022.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secretariasenado.gov.co/senado/basedoc/ley_2195_2022.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C5D18-2860-40C1-AE47-622BC27A2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3455</Words>
  <Characters>18187</Characters>
  <Application>Microsoft Office Word</Application>
  <DocSecurity>0</DocSecurity>
  <Lines>402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CRISTINA VARGAS</cp:lastModifiedBy>
  <cp:revision>9</cp:revision>
  <cp:lastPrinted>2019-01-25T16:36:00Z</cp:lastPrinted>
  <dcterms:created xsi:type="dcterms:W3CDTF">2025-07-30T20:53:00Z</dcterms:created>
  <dcterms:modified xsi:type="dcterms:W3CDTF">2026-03-10T21:40:00Z</dcterms:modified>
</cp:coreProperties>
</file>